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方正小标宋简体" w:hAnsi="宋体" w:eastAsia="方正小标宋简体"/>
          <w:color w:val="000000"/>
          <w:sz w:val="44"/>
          <w:szCs w:val="32"/>
          <w:u w:val="single"/>
          <w:shd w:val="clear" w:color="auto" w:fill="FFFFFF"/>
        </w:rPr>
      </w:pPr>
      <w:r>
        <w:rPr>
          <w:rFonts w:hint="eastAsia" w:ascii="方正小标宋简体" w:hAnsi="宋体" w:eastAsia="方正小标宋简体"/>
          <w:color w:val="000000"/>
          <w:sz w:val="44"/>
          <w:szCs w:val="32"/>
          <w:shd w:val="clear" w:color="auto" w:fill="FFFFFF"/>
        </w:rPr>
        <w:t>超值宝1年</w:t>
      </w:r>
      <w:permStart w:id="0" w:edGrp="everyone"/>
      <w:permEnd w:id="0"/>
      <w:bookmarkStart w:id="11" w:name="_GoBack"/>
      <w:bookmarkEnd w:id="11"/>
      <w:r>
        <w:rPr>
          <w:rFonts w:hint="eastAsia" w:ascii="方正小标宋简体" w:hAnsi="宋体" w:eastAsia="方正小标宋简体"/>
          <w:color w:val="000000"/>
          <w:sz w:val="44"/>
          <w:szCs w:val="32"/>
          <w:shd w:val="clear" w:color="auto" w:fill="FFFFFF"/>
        </w:rPr>
        <w:t>101期理财产品</w:t>
      </w:r>
    </w:p>
    <w:p>
      <w:pPr>
        <w:spacing w:before="156" w:beforeLines="50" w:after="156" w:afterLines="50" w:line="360" w:lineRule="auto"/>
        <w:jc w:val="center"/>
        <w:rPr>
          <w:rFonts w:ascii="方正小标宋简体" w:hAnsi="宋体" w:eastAsia="方正小标宋简体"/>
          <w:sz w:val="36"/>
          <w:szCs w:val="24"/>
        </w:rPr>
      </w:pPr>
      <w:r>
        <w:rPr>
          <w:rFonts w:ascii="方正小标宋简体" w:hAnsi="宋体" w:eastAsia="方正小标宋简体"/>
          <w:color w:val="000000"/>
          <w:sz w:val="44"/>
          <w:szCs w:val="32"/>
          <w:shd w:val="clear" w:color="auto" w:fill="FFFFFF"/>
        </w:rPr>
        <w:t>2021年第4季度</w:t>
      </w:r>
      <w:r>
        <w:rPr>
          <w:rFonts w:hint="eastAsia" w:ascii="方正小标宋简体" w:hAnsi="宋体" w:eastAsia="方正小标宋简体"/>
          <w:color w:val="000000"/>
          <w:sz w:val="44"/>
          <w:szCs w:val="32"/>
          <w:shd w:val="clear" w:color="auto" w:fill="FFFFFF"/>
        </w:rPr>
        <w:t>报告</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r>
        <w:rPr>
          <w:rFonts w:ascii="宋体" w:hAnsi="宋体"/>
          <w:b/>
          <w:color w:val="000000"/>
          <w:sz w:val="32"/>
          <w:szCs w:val="32"/>
          <w:shd w:val="clear" w:color="auto" w:fill="FFFFFF"/>
        </w:rPr>
        <w:t>2021年12月31日</w:t>
      </w:r>
      <w:bookmarkStart w:id="0" w:name="OLE_LINK3"/>
      <w:bookmarkEnd w:id="0"/>
      <w:bookmarkStart w:id="1" w:name="OLE_LINK2"/>
      <w:bookmarkEnd w:id="1"/>
      <w:bookmarkStart w:id="2" w:name="OLE_LINK1"/>
      <w:bookmarkEnd w:id="2"/>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r>
        <w:rPr>
          <w:rFonts w:hint="eastAsia" w:ascii="宋体" w:hAnsi="宋体"/>
          <w:b/>
          <w:color w:val="000000"/>
          <w:sz w:val="32"/>
          <w:szCs w:val="32"/>
          <w:shd w:val="clear" w:color="auto" w:fill="FFFFFF"/>
        </w:rPr>
        <w:t>产品管理人：</w:t>
      </w:r>
      <w:r>
        <w:rPr>
          <w:rFonts w:ascii="宋体" w:hAnsi="宋体"/>
          <w:b/>
          <w:color w:val="000000"/>
          <w:sz w:val="32"/>
          <w:szCs w:val="32"/>
          <w:shd w:val="clear" w:color="auto" w:fill="FFFFFF"/>
        </w:rPr>
        <w:t>贵阳农村商业银行股份有限公司</w:t>
      </w:r>
    </w:p>
    <w:p>
      <w:pPr>
        <w:spacing w:before="156" w:beforeLines="50" w:after="156" w:afterLines="50" w:line="360" w:lineRule="auto"/>
        <w:jc w:val="center"/>
        <w:rPr>
          <w:rFonts w:ascii="宋体" w:hAnsi="宋体"/>
          <w:b/>
          <w:color w:val="000000"/>
          <w:sz w:val="32"/>
          <w:szCs w:val="32"/>
          <w:shd w:val="clear" w:color="auto" w:fill="FFFFFF"/>
        </w:rPr>
      </w:pPr>
      <w:r>
        <w:rPr>
          <w:rFonts w:hint="eastAsia" w:ascii="宋体" w:hAnsi="宋体"/>
          <w:b/>
          <w:color w:val="000000"/>
          <w:sz w:val="32"/>
          <w:szCs w:val="32"/>
          <w:shd w:val="clear" w:color="auto" w:fill="FFFFFF"/>
        </w:rPr>
        <w:t>产品托管人：</w:t>
      </w:r>
      <w:r>
        <w:rPr>
          <w:rFonts w:hint="eastAsia" w:ascii="宋体" w:hAnsi="宋体"/>
          <w:b/>
          <w:color w:val="FF0000"/>
          <w:sz w:val="32"/>
          <w:szCs w:val="32"/>
          <w:shd w:val="clear" w:color="auto" w:fill="FFFFFF"/>
        </w:rPr>
        <w:t>招商银行股份有限公司贵阳分行</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pPr>
      <w:r>
        <w:rPr>
          <w:rFonts w:hint="eastAsia" w:asciiTheme="minorEastAsia" w:hAnsiTheme="minorEastAsia" w:eastAsiaTheme="minorEastAsia"/>
          <w:b/>
          <w:sz w:val="24"/>
          <w:szCs w:val="24"/>
          <w:shd w:val="clear" w:color="auto" w:fill="FFFFFF"/>
        </w:rPr>
        <w:t>§1  重要提示</w:t>
      </w:r>
    </w:p>
    <w:p>
      <w:pPr>
        <w:spacing w:before="156" w:beforeLines="50" w:after="156" w:afterLines="50" w:line="600" w:lineRule="exact"/>
        <w:ind w:firstLine="420" w:firstLineChars="200"/>
      </w:pPr>
      <w:r>
        <w:t>产品管理人保证本报告所载资料不存在虚假记载、误导性陈述或重大遗漏</w:t>
      </w:r>
      <w:r>
        <w:rPr>
          <w:rFonts w:hint="eastAsia"/>
        </w:rPr>
        <w:t>，</w:t>
      </w:r>
      <w:r>
        <w:t>并对其内容的真实性、准确性和完整性承担个别及连带责任。</w:t>
      </w:r>
    </w:p>
    <w:p>
      <w:pPr>
        <w:spacing w:before="156" w:beforeLines="50" w:after="156" w:afterLines="50" w:line="600" w:lineRule="exact"/>
        <w:ind w:firstLine="420" w:firstLineChars="200"/>
        <w:rPr>
          <w:rFonts w:ascii="宋体" w:hAnsi="宋体"/>
          <w:b/>
          <w:color w:val="000000"/>
          <w:sz w:val="32"/>
          <w:szCs w:val="32"/>
          <w:shd w:val="clear" w:color="auto" w:fill="FFFFFF"/>
        </w:rPr>
      </w:pPr>
      <w:r>
        <w:t>产品托管人</w:t>
      </w:r>
      <w:r>
        <w:rPr>
          <w:rFonts w:hint="eastAsia"/>
          <w:color w:val="FF0000"/>
        </w:rPr>
        <w:t>招商</w:t>
      </w:r>
      <w:r>
        <w:rPr>
          <w:color w:val="FF0000"/>
        </w:rPr>
        <w:t>银行股份有限公司贵阳分行</w:t>
      </w:r>
      <w:r>
        <w:rPr>
          <w:rFonts w:hint="eastAsia"/>
        </w:rPr>
        <w:t>，</w:t>
      </w:r>
      <w:r>
        <w:t>已复核了本报告中的财务指标、净值表现和投资组合报告等内容</w:t>
      </w:r>
      <w:r>
        <w:rPr>
          <w:rFonts w:hint="eastAsia"/>
        </w:rPr>
        <w:t>，</w:t>
      </w:r>
      <w:r>
        <w:t>保证复核内容不存在虚假记载、误导性陈述或者重大遗漏</w:t>
      </w:r>
      <w:r>
        <w:rPr>
          <w:rFonts w:hint="eastAsia"/>
        </w:rPr>
        <w:t>。</w:t>
      </w:r>
      <w:r>
        <w:t>本报告中财务资料未经审计</w:t>
      </w:r>
      <w:r>
        <w:rPr>
          <w:rFonts w:hint="eastAsia"/>
        </w:rPr>
        <w:t>。</w:t>
      </w:r>
      <w:r>
        <w:t>本报告期自2021年10月01日</w:t>
      </w:r>
      <w:bookmarkStart w:id="3" w:name="OLE_LINK5"/>
      <w:bookmarkEnd w:id="3"/>
      <w:bookmarkStart w:id="4" w:name="OLE_LINK6"/>
      <w:bookmarkEnd w:id="4"/>
      <w:r>
        <w:t>起至2021年12月31日止。</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rPr>
          <w:rFonts w:ascii="宋体" w:hAnsi="宋体"/>
          <w:sz w:val="24"/>
          <w:szCs w:val="24"/>
        </w:rPr>
      </w:pPr>
    </w:p>
    <w:p>
      <w:pPr>
        <w:spacing w:before="156" w:beforeLines="50" w:after="156" w:afterLines="50" w:line="360" w:lineRule="auto"/>
        <w:jc w:val="center"/>
        <w:rPr>
          <w:rFonts w:asciiTheme="minorEastAsia" w:hAnsiTheme="minorEastAsia" w:eastAsiaTheme="minorEastAsia"/>
          <w:b/>
          <w:sz w:val="24"/>
          <w:szCs w:val="24"/>
          <w:shd w:val="clear" w:color="auto" w:fill="FFFFFF"/>
        </w:rPr>
      </w:pPr>
      <w:bookmarkStart w:id="5" w:name="_Toc528772556"/>
      <w:bookmarkStart w:id="6" w:name="_Toc194311890"/>
      <w:r>
        <w:rPr>
          <w:rFonts w:hint="eastAsia" w:asciiTheme="minorEastAsia" w:hAnsiTheme="minorEastAsia" w:eastAsiaTheme="minorEastAsia"/>
          <w:b/>
          <w:sz w:val="24"/>
          <w:szCs w:val="24"/>
          <w:shd w:val="clear" w:color="auto" w:fill="FFFFFF"/>
        </w:rPr>
        <w:t>§2</w:t>
      </w:r>
      <w:bookmarkEnd w:id="5"/>
      <w:bookmarkEnd w:id="6"/>
      <w:r>
        <w:rPr>
          <w:rFonts w:hint="eastAsia" w:asciiTheme="minorEastAsia" w:hAnsiTheme="minorEastAsia" w:eastAsiaTheme="minorEastAsia"/>
          <w:b/>
          <w:sz w:val="24"/>
          <w:szCs w:val="24"/>
          <w:shd w:val="clear" w:color="auto" w:fill="FFFFFF"/>
        </w:rPr>
        <w:t>产品概况</w:t>
      </w:r>
    </w:p>
    <w:p>
      <w:pPr>
        <w:spacing w:before="156" w:beforeLines="50" w:after="156" w:afterLines="50" w:line="360" w:lineRule="auto"/>
        <w:jc w:val="center"/>
        <w:rPr>
          <w:rFonts w:asciiTheme="minorEastAsia" w:hAnsiTheme="minorEastAsia" w:eastAsiaTheme="minorEastAsia"/>
          <w:b/>
          <w:sz w:val="24"/>
          <w:szCs w:val="24"/>
          <w:shd w:val="clear" w:color="auto" w:fill="FFFFFF"/>
        </w:rPr>
      </w:pPr>
    </w:p>
    <w:tbl>
      <w:tblPr>
        <w:tblStyle w:val="11"/>
        <w:tblpPr w:leftFromText="180" w:rightFromText="180" w:vertAnchor="text" w:horzAnchor="margin" w:tblpY="8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07"/>
        <w:gridCol w:w="5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产品名称</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kern w:val="0"/>
                <w:szCs w:val="21"/>
                <w:shd w:val="clear" w:color="auto" w:fill="FFFFFF"/>
              </w:rPr>
            </w:pPr>
            <w:r>
              <w:rPr>
                <w:rFonts w:ascii="宋体" w:hAnsi="宋体"/>
                <w:kern w:val="0"/>
                <w:szCs w:val="21"/>
                <w:shd w:val="clear" w:color="auto" w:fill="FFFFFF"/>
              </w:rPr>
              <w:t>超值宝1年101期理财产品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产品登记编码</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kern w:val="0"/>
                <w:szCs w:val="21"/>
                <w:shd w:val="clear" w:color="auto" w:fill="FFFFFF"/>
              </w:rPr>
            </w:pPr>
            <w:r>
              <w:rPr>
                <w:rFonts w:hint="eastAsia" w:ascii="宋体" w:hAnsi="宋体"/>
                <w:kern w:val="0"/>
                <w:szCs w:val="21"/>
                <w:shd w:val="clear" w:color="auto" w:fill="FFFFFF"/>
              </w:rPr>
              <w:t>C</w:t>
            </w:r>
            <w:r>
              <w:rPr>
                <w:rFonts w:ascii="宋体" w:hAnsi="宋体"/>
                <w:kern w:val="0"/>
                <w:szCs w:val="21"/>
                <w:shd w:val="clear" w:color="auto" w:fill="FFFFFF"/>
              </w:rPr>
              <w:t>1188321000096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报告期末产品份额总额</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22"/>
                <w:szCs w:val="22"/>
              </w:rPr>
            </w:pPr>
            <w:r>
              <w:rPr>
                <w:rFonts w:ascii="宋体" w:hAnsi="宋体"/>
                <w:kern w:val="0"/>
                <w:szCs w:val="21"/>
                <w:shd w:val="clear" w:color="auto" w:fill="FFFFFF"/>
              </w:rPr>
              <w:t>150,000,000.00份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报告期末产品存续规模</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22"/>
                <w:szCs w:val="22"/>
              </w:rPr>
            </w:pPr>
            <w:r>
              <w:rPr>
                <w:rFonts w:ascii="宋体" w:hAnsi="宋体"/>
                <w:szCs w:val="21"/>
                <w:shd w:val="clear" w:color="auto" w:fill="FFFFFF"/>
              </w:rPr>
              <w:t>152,562,964.43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投资类型</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kern w:val="0"/>
                <w:szCs w:val="21"/>
                <w:shd w:val="clear" w:color="auto" w:fill="FFFFFF"/>
              </w:rPr>
            </w:pPr>
            <w:r>
              <w:rPr>
                <w:rFonts w:hint="eastAsia" w:ascii="宋体" w:hAnsi="宋体"/>
                <w:color w:val="FF0000"/>
                <w:kern w:val="0"/>
                <w:szCs w:val="21"/>
                <w:shd w:val="clear" w:color="auto" w:fill="FFFFFF"/>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投资标的</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kern w:val="0"/>
                <w:szCs w:val="21"/>
                <w:shd w:val="clear" w:color="auto" w:fill="FFFFFF"/>
              </w:rPr>
            </w:pPr>
            <w:r>
              <w:rPr>
                <w:rFonts w:hint="eastAsia" w:ascii="宋体" w:hAnsi="宋体"/>
                <w:color w:val="FF0000"/>
                <w:kern w:val="0"/>
                <w:szCs w:val="21"/>
                <w:shd w:val="clear" w:color="auto" w:fill="FFFFFF"/>
              </w:rPr>
              <w:t>本期产品理财资金投资于符合监管要求的投资工具，包括：现金类资产、货币类资产、标准化固定收益类资产、符合前述投向的信托计划及资产管理计划；投资于现金类资产、货币类资产、标准化固定收益类资产及符合前述投向的信托计划、资产管理计划的比例为80%-100%；其他符合监管要求的资产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投资策略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color w:val="FF0000"/>
                <w:kern w:val="0"/>
                <w:szCs w:val="21"/>
                <w:shd w:val="clear" w:color="auto" w:fill="FFFFFF"/>
              </w:rPr>
              <w:t>管理人在充分研究宏观市场形势以及微观市场主体的基础上，采取积极主动的投资管理策略，通过定性与定量分析，对利率变化趋势、收益率曲线移动方向、信用利差等影响固定收益投资品价格的因素进行评估，对不同投资品种运用不同的投资策略。在信用风险可控的前提下，寻求组合流动性与收益的最佳配比，力求持续取得稳健或超过业绩比较基准的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产品</w:t>
            </w:r>
            <w:r>
              <w:rPr>
                <w:rFonts w:ascii="宋体" w:hAnsi="宋体"/>
                <w:szCs w:val="21"/>
                <w:shd w:val="clear" w:color="auto" w:fill="FFFFFF"/>
              </w:rPr>
              <w:t>费率</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本产品收取固定销售费</w:t>
            </w:r>
            <w:r>
              <w:rPr>
                <w:rFonts w:ascii="宋体" w:hAnsi="宋体"/>
                <w:color w:val="FF0000"/>
                <w:szCs w:val="21"/>
                <w:shd w:val="clear" w:color="auto" w:fill="FFFFFF"/>
              </w:rPr>
              <w:t>0.30000</w:t>
            </w:r>
            <w:r>
              <w:rPr>
                <w:rFonts w:hint="eastAsia" w:ascii="宋体" w:hAnsi="宋体"/>
                <w:color w:val="FF0000"/>
                <w:szCs w:val="21"/>
                <w:shd w:val="clear" w:color="auto" w:fill="FFFFFF"/>
              </w:rPr>
              <w:t>%/年</w:t>
            </w:r>
            <w:r>
              <w:rPr>
                <w:rFonts w:hint="eastAsia" w:ascii="宋体" w:hAnsi="宋体"/>
                <w:szCs w:val="21"/>
                <w:shd w:val="clear" w:color="auto" w:fill="FFFFFF"/>
              </w:rPr>
              <w:t>，固定管理费</w:t>
            </w:r>
            <w:r>
              <w:rPr>
                <w:rFonts w:ascii="宋体" w:hAnsi="宋体"/>
                <w:color w:val="FF0000"/>
                <w:szCs w:val="21"/>
                <w:shd w:val="clear" w:color="auto" w:fill="FFFFFF"/>
              </w:rPr>
              <w:t>0.30000</w:t>
            </w:r>
            <w:r>
              <w:rPr>
                <w:rFonts w:hint="eastAsia" w:ascii="宋体" w:hAnsi="宋体"/>
                <w:color w:val="FF0000"/>
                <w:szCs w:val="21"/>
                <w:shd w:val="clear" w:color="auto" w:fill="FFFFFF"/>
              </w:rPr>
              <w:t>%/年</w:t>
            </w:r>
            <w:r>
              <w:rPr>
                <w:rFonts w:hint="eastAsia" w:ascii="宋体" w:hAnsi="宋体"/>
                <w:szCs w:val="21"/>
                <w:shd w:val="clear" w:color="auto" w:fill="FFFFFF"/>
              </w:rPr>
              <w:t>、固定托管费</w:t>
            </w:r>
            <w:r>
              <w:rPr>
                <w:rFonts w:ascii="宋体" w:hAnsi="宋体"/>
                <w:color w:val="FF0000"/>
                <w:szCs w:val="21"/>
                <w:shd w:val="clear" w:color="auto" w:fill="FFFFFF"/>
              </w:rPr>
              <w:t>0.02000</w:t>
            </w:r>
            <w:r>
              <w:rPr>
                <w:rFonts w:hint="eastAsia" w:ascii="宋体" w:hAnsi="宋体"/>
                <w:color w:val="FF0000"/>
                <w:szCs w:val="21"/>
                <w:shd w:val="clear" w:color="auto" w:fill="FFFFFF"/>
              </w:rPr>
              <w:t>%/年</w:t>
            </w:r>
            <w:r>
              <w:rPr>
                <w:rFonts w:hint="eastAsia" w:ascii="宋体" w:hAnsi="宋体"/>
                <w:szCs w:val="21"/>
                <w:shd w:val="clear" w:color="auto" w:fill="FFFFFF"/>
              </w:rPr>
              <w:t>和超额业绩报酬（如有），上述费用在计算产品单位净值前扣除。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成立日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p>
          <w:p>
            <w:pPr>
              <w:rPr>
                <w:rFonts w:ascii="宋体" w:hAnsi="宋体"/>
                <w:szCs w:val="21"/>
                <w:shd w:val="clear" w:color="auto" w:fill="FFFFFF"/>
              </w:rPr>
            </w:pPr>
            <w:r>
              <w:rPr>
                <w:rFonts w:ascii="宋体" w:hAnsi="宋体"/>
                <w:szCs w:val="21"/>
                <w:shd w:val="clear" w:color="auto" w:fill="FFFFFF"/>
              </w:rPr>
              <w:t>2021年09月28日</w:t>
            </w:r>
          </w:p>
          <w:p>
            <w:pPr>
              <w:rPr>
                <w:rFonts w:ascii="宋体" w:hAnsi="宋体"/>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终止日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ascii="宋体" w:hAnsi="宋体"/>
                <w:szCs w:val="21"/>
                <w:shd w:val="clear" w:color="auto" w:fill="FFFFFF"/>
              </w:rPr>
              <w:t>2022年09月28日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估值方法</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FF0000"/>
                <w:szCs w:val="21"/>
                <w:shd w:val="clear" w:color="auto" w:fill="FFFFFF"/>
              </w:rPr>
            </w:pPr>
            <w:r>
              <w:rPr>
                <w:rFonts w:hint="eastAsia" w:ascii="宋体" w:hAnsi="宋体"/>
                <w:color w:val="FF0000"/>
                <w:szCs w:val="21"/>
                <w:shd w:val="clear" w:color="auto" w:fill="FFFFFF"/>
              </w:rPr>
              <w:t>1.现金、银行存款以本金列示，逐日计提银行存款利息，按约定利率确认存款利息收入；2.对于未在交易所上市的货币市场基金，按基金管理公司披露的估值日前一交易日的每万份收益计提收益；3.标准化固定收益类资产：交易所及银行间公开发行的债券按市场价格估值，按中央国债登记结算有限责任公司或中国证券登记结算有限公司公布的在估值日的估值净价进行估值；交易所上市的资产支持证券、中小企业私募债券等非公开发行债券，由于不存在活跃交易、且估值技术难以可靠计量公允价值，按成本估值；4.投资资产管理产品、非标债权或其他特殊目的载体等的估值：（1）资产管理产品、非标债权或其他特殊目的载体等披露份额净值的，按最近一日的份额净值估值。（2）资产管理产品、非标债权或其他特殊目的载体等披露收益率的，按成本估值，按收益率计提收益；5.其它符合监管要求的资产，存在可以确定公允价值的，以公允价值估值；公允价值不能确定的，按取得时成本按摊余成本法估值；6.国家有最新规定的，按其规定进行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杠杆水平</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ascii="宋体" w:hAnsi="宋体"/>
                <w:szCs w:val="21"/>
                <w:shd w:val="clear" w:color="auto" w:fill="FFFFFF"/>
              </w:rPr>
              <w:t>100.16%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业绩比较基准</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[4.7%-5.2%]/年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风险等级</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color w:val="FF0000"/>
                <w:szCs w:val="21"/>
                <w:shd w:val="clear" w:color="auto" w:fill="FFFFFF"/>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产品管理人</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ascii="宋体" w:hAnsi="宋体"/>
                <w:szCs w:val="21"/>
                <w:shd w:val="clear" w:color="auto" w:fill="FFFFFF"/>
              </w:rPr>
              <w:t>贵阳农村商业银行股份有限公司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产品托管人</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color w:val="FF0000"/>
                <w:szCs w:val="21"/>
                <w:shd w:val="clear" w:color="auto" w:fill="FFFFFF"/>
              </w:rPr>
              <w:t>招商银行股份有限公司贵阳分行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投资账户信息</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kern w:val="0"/>
                <w:szCs w:val="21"/>
                <w:shd w:val="clear" w:color="auto" w:fill="FFFFFF"/>
              </w:rPr>
            </w:pPr>
            <w:r>
              <w:rPr>
                <w:rFonts w:hint="eastAsia" w:ascii="宋体" w:hAnsi="宋体"/>
                <w:color w:val="FF0000"/>
                <w:szCs w:val="21"/>
                <w:shd w:val="clear" w:color="auto" w:fill="FFFFFF"/>
              </w:rPr>
              <w:t>户名：贵阳农村商业银行股份有限公司-超值宝1年1</w:t>
            </w:r>
            <w:r>
              <w:rPr>
                <w:rFonts w:ascii="宋体" w:hAnsi="宋体"/>
                <w:color w:val="FF0000"/>
                <w:szCs w:val="21"/>
                <w:shd w:val="clear" w:color="auto" w:fill="FFFFFF"/>
              </w:rPr>
              <w:t>01期</w:t>
            </w:r>
            <w:r>
              <w:rPr>
                <w:rFonts w:ascii="宋体" w:hAnsi="宋体"/>
                <w:kern w:val="0"/>
                <w:szCs w:val="21"/>
                <w:shd w:val="clear" w:color="auto" w:fill="FFFFFF"/>
              </w:rPr>
              <w:t xml:space="preserve"> </w:t>
            </w:r>
          </w:p>
          <w:p>
            <w:pPr>
              <w:rPr>
                <w:rFonts w:ascii="宋体" w:hAnsi="宋体"/>
                <w:szCs w:val="21"/>
                <w:shd w:val="clear" w:color="auto" w:fill="FFFFFF"/>
              </w:rPr>
            </w:pPr>
            <w:r>
              <w:rPr>
                <w:rFonts w:hint="eastAsia" w:ascii="宋体" w:hAnsi="宋体"/>
                <w:color w:val="FF0000"/>
                <w:szCs w:val="21"/>
                <w:shd w:val="clear" w:color="auto" w:fill="FFFFFF"/>
              </w:rPr>
              <w:t>账号：8</w:t>
            </w:r>
            <w:r>
              <w:rPr>
                <w:rFonts w:ascii="宋体" w:hAnsi="宋体"/>
                <w:color w:val="FF0000"/>
                <w:szCs w:val="21"/>
                <w:shd w:val="clear" w:color="auto" w:fill="FFFFFF"/>
              </w:rPr>
              <w:t>51900159610843</w:t>
            </w:r>
          </w:p>
          <w:p>
            <w:pPr>
              <w:rPr>
                <w:rFonts w:ascii="宋体" w:hAnsi="宋体"/>
                <w:szCs w:val="21"/>
                <w:shd w:val="clear" w:color="auto" w:fill="FFFFFF"/>
              </w:rPr>
            </w:pPr>
            <w:r>
              <w:rPr>
                <w:rFonts w:hint="eastAsia" w:ascii="宋体" w:hAnsi="宋体"/>
                <w:color w:val="FF0000"/>
                <w:szCs w:val="21"/>
                <w:shd w:val="clear" w:color="auto" w:fill="FFFFFF"/>
              </w:rPr>
              <w:t>开户行：</w:t>
            </w:r>
            <w:r>
              <w:rPr>
                <w:rFonts w:hint="eastAsia"/>
                <w:color w:val="FF0000"/>
              </w:rPr>
              <w:t>招商</w:t>
            </w:r>
            <w:r>
              <w:rPr>
                <w:color w:val="FF0000"/>
              </w:rPr>
              <w:t>银行股份有限公司贵阳分行</w:t>
            </w:r>
            <w:r>
              <w:rPr>
                <w:rFonts w:ascii="宋体" w:hAnsi="宋体"/>
                <w:szCs w:val="21"/>
                <w:shd w:val="clear" w:color="auto" w:fill="FFFFFF"/>
              </w:rPr>
              <w:t xml:space="preserve"> </w:t>
            </w:r>
          </w:p>
        </w:tc>
      </w:tr>
    </w:tbl>
    <w:p>
      <w:pPr>
        <w:widowControl/>
        <w:jc w:val="left"/>
        <w:rPr>
          <w:rFonts w:asciiTheme="minorEastAsia" w:hAnsiTheme="minorEastAsia" w:eastAsiaTheme="minorEastAsia"/>
          <w:b/>
          <w:sz w:val="24"/>
          <w:szCs w:val="24"/>
        </w:rPr>
      </w:pPr>
    </w:p>
    <w:p>
      <w:pPr>
        <w:spacing w:before="156" w:beforeLines="50" w:after="156" w:afterLines="50"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w:t>
      </w:r>
      <w:r>
        <w:rPr>
          <w:rFonts w:asciiTheme="minorEastAsia" w:hAnsiTheme="minorEastAsia" w:eastAsiaTheme="minorEastAsia"/>
          <w:b/>
          <w:sz w:val="24"/>
          <w:szCs w:val="24"/>
        </w:rPr>
        <w:t>3</w:t>
      </w:r>
      <w:r>
        <w:rPr>
          <w:rFonts w:hint="eastAsia" w:asciiTheme="minorEastAsia" w:hAnsiTheme="minorEastAsia" w:eastAsiaTheme="minorEastAsia"/>
          <w:b/>
          <w:sz w:val="24"/>
          <w:szCs w:val="24"/>
        </w:rPr>
        <w:t xml:space="preserve">  主要财务指标和净值表现</w:t>
      </w:r>
    </w:p>
    <w:p>
      <w:pPr>
        <w:spacing w:before="156" w:beforeLines="50" w:line="360" w:lineRule="exact"/>
        <w:rPr>
          <w:b/>
          <w:color w:val="000000"/>
        </w:rPr>
      </w:pPr>
      <w:r>
        <w:rPr>
          <w:b/>
          <w:color w:val="000000"/>
        </w:rPr>
        <w:t xml:space="preserve">3.1 </w:t>
      </w:r>
      <w:r>
        <w:rPr>
          <w:rFonts w:hint="eastAsia"/>
          <w:b/>
          <w:color w:val="000000"/>
        </w:rPr>
        <w:t>主要财务指标</w:t>
      </w:r>
    </w:p>
    <w:p>
      <w:pPr>
        <w:spacing w:before="156" w:beforeLines="50" w:line="360" w:lineRule="exact"/>
        <w:jc w:val="right"/>
        <w:rPr>
          <w:color w:val="000000"/>
        </w:rPr>
      </w:pPr>
      <w:r>
        <w:rPr>
          <w:rFonts w:hint="eastAsia"/>
          <w:color w:val="000000"/>
        </w:rPr>
        <w:t>单位：人民币元</w:t>
      </w:r>
    </w:p>
    <w:tbl>
      <w:tblPr>
        <w:tblStyle w:val="12"/>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660"/>
        <w:gridCol w:w="586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5" w:hRule="atLeast"/>
        </w:trPr>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主要财务指标</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报告期（</w:t>
            </w:r>
            <w:r>
              <w:rPr>
                <w:rFonts w:ascii="宋体" w:hAnsi="宋体"/>
                <w:szCs w:val="21"/>
                <w:shd w:val="clear" w:color="auto" w:fill="FFFFFF"/>
              </w:rPr>
              <w:t>2021年10月01日</w:t>
            </w:r>
            <w:r>
              <w:rPr>
                <w:rFonts w:hint="eastAsia" w:ascii="宋体" w:hAnsi="宋体"/>
                <w:szCs w:val="21"/>
                <w:shd w:val="clear" w:color="auto" w:fill="FFFFFF"/>
              </w:rPr>
              <w:t>-</w:t>
            </w:r>
            <w:r>
              <w:rPr>
                <w:rFonts w:ascii="宋体" w:hAnsi="宋体"/>
                <w:szCs w:val="21"/>
                <w:shd w:val="clear" w:color="auto" w:fill="FFFFFF"/>
              </w:rPr>
              <w:t>2021年12月31日</w:t>
            </w:r>
            <w:r>
              <w:rPr>
                <w:rFonts w:hint="eastAsia" w:ascii="宋体" w:hAnsi="宋体"/>
                <w:szCs w:val="21"/>
                <w:shd w:val="clear" w:color="auto" w:fill="FFFFFF"/>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1.</w:t>
            </w:r>
            <w:r>
              <w:rPr>
                <w:rFonts w:hint="eastAsia" w:ascii="宋体" w:hAnsi="宋体"/>
                <w:szCs w:val="21"/>
              </w:rPr>
              <w:t>本期已实现收益</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ascii="宋体" w:hAnsi="宋体"/>
                <w:szCs w:val="21"/>
                <w:shd w:val="clear" w:color="auto" w:fill="FFFFFF"/>
              </w:rPr>
              <w:t>-169,755.81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2.本期利润</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ascii="宋体" w:hAnsi="宋体"/>
                <w:szCs w:val="21"/>
                <w:shd w:val="clear" w:color="auto" w:fill="FFFFFF"/>
              </w:rPr>
              <w:t>2,703,909.78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3.期末产品资产净值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ascii="宋体" w:hAnsi="宋体"/>
                <w:szCs w:val="21"/>
                <w:shd w:val="clear" w:color="auto" w:fill="FFFFFF"/>
              </w:rPr>
              <w:t>152,562,964.43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4.期末产品份额净值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ascii="宋体" w:hAnsi="宋体"/>
                <w:szCs w:val="21"/>
                <w:shd w:val="clear" w:color="auto" w:fill="FFFFFF"/>
              </w:rPr>
              <w:t>1.0171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5.期末产品份额累计净值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ascii="宋体" w:hAnsi="宋体"/>
                <w:szCs w:val="21"/>
                <w:shd w:val="clear" w:color="auto" w:fill="FFFFFF"/>
              </w:rPr>
              <w:t>1.0171</w:t>
            </w:r>
          </w:p>
        </w:tc>
      </w:tr>
    </w:tbl>
    <w:p>
      <w:pPr>
        <w:spacing w:before="156" w:beforeLines="50" w:line="360" w:lineRule="exact"/>
      </w:pPr>
      <w:r>
        <w:rPr>
          <w:rFonts w:hint="eastAsia"/>
        </w:rPr>
        <w:t>注：</w:t>
      </w:r>
      <w:r>
        <w:t>1</w:t>
      </w:r>
      <w:r>
        <w:rPr>
          <w:rFonts w:hint="eastAsia"/>
        </w:rPr>
        <w:t>、本期收益为本期已实现收益加上本期公允价值变动收益；</w:t>
      </w:r>
    </w:p>
    <w:p>
      <w:pPr>
        <w:spacing w:before="156" w:beforeLines="50" w:line="360" w:lineRule="exact"/>
      </w:pPr>
      <w:r>
        <w:t xml:space="preserve">    2</w:t>
      </w:r>
      <w:r>
        <w:rPr>
          <w:rFonts w:hint="eastAsia"/>
        </w:rPr>
        <w:t>、除产品合同和招募说明书另有规定外，期末产品份额净值按四舍五入法保留至小数点后第</w:t>
      </w:r>
      <w:r>
        <w:t>4</w:t>
      </w:r>
      <w:r>
        <w:rPr>
          <w:rFonts w:hint="eastAsia"/>
        </w:rPr>
        <w:t>位，其他财务指标保留至小数点后第</w:t>
      </w:r>
      <w:r>
        <w:t>2</w:t>
      </w:r>
      <w:r>
        <w:rPr>
          <w:rFonts w:hint="eastAsia"/>
        </w:rPr>
        <w:t>位；</w:t>
      </w:r>
    </w:p>
    <w:p>
      <w:pPr>
        <w:spacing w:before="156" w:beforeLines="50" w:line="360" w:lineRule="exact"/>
        <w:ind w:firstLine="420" w:firstLineChars="200"/>
      </w:pPr>
      <w:r>
        <w:t>3</w:t>
      </w:r>
      <w:r>
        <w:rPr>
          <w:rFonts w:hint="eastAsia"/>
        </w:rPr>
        <w:t>、期末即最后一个自然日；</w:t>
      </w:r>
    </w:p>
    <w:p>
      <w:pPr>
        <w:spacing w:before="156" w:beforeLines="50" w:line="360" w:lineRule="exact"/>
        <w:rPr>
          <w:color w:val="000000"/>
        </w:rPr>
      </w:pPr>
      <w:r>
        <w:tab/>
      </w:r>
      <w:r>
        <w:t>4</w:t>
      </w:r>
      <w:r>
        <w:rPr>
          <w:rFonts w:hint="eastAsia"/>
        </w:rPr>
        <w:t>、</w:t>
      </w:r>
      <w:r>
        <w:rPr>
          <w:rFonts w:hint="eastAsia"/>
          <w:color w:val="000000"/>
        </w:rPr>
        <w:t>本报告期内，本理财计划未进行分红。</w:t>
      </w:r>
    </w:p>
    <w:p>
      <w:pPr>
        <w:spacing w:before="156" w:beforeLines="50" w:line="360" w:lineRule="exact"/>
        <w:rPr>
          <w:color w:val="000000"/>
        </w:rPr>
      </w:pPr>
    </w:p>
    <w:p>
      <w:pPr>
        <w:spacing w:before="156" w:beforeLines="50" w:line="360" w:lineRule="exact"/>
        <w:rPr>
          <w:b/>
          <w:color w:val="000000"/>
        </w:rPr>
      </w:pPr>
      <w:r>
        <w:rPr>
          <w:b/>
          <w:color w:val="000000"/>
        </w:rPr>
        <w:t xml:space="preserve">3.2 </w:t>
      </w:r>
      <w:r>
        <w:rPr>
          <w:rFonts w:hint="eastAsia"/>
          <w:b/>
          <w:color w:val="000000"/>
        </w:rPr>
        <w:t>产品净值表现</w:t>
      </w:r>
    </w:p>
    <w:p>
      <w:pPr>
        <w:spacing w:before="156" w:beforeLines="50" w:line="360" w:lineRule="exact"/>
      </w:pPr>
      <w:r>
        <w:t>3.2.1</w:t>
      </w:r>
      <w:r>
        <w:rPr>
          <w:rFonts w:hint="eastAsia"/>
        </w:rPr>
        <w:t>产品份额净值增长率与同期业绩比较基准收益率的比较</w:t>
      </w:r>
    </w:p>
    <w:tbl>
      <w:tblPr>
        <w:tblStyle w:val="11"/>
        <w:tblW w:w="8276" w:type="dxa"/>
        <w:tblInd w:w="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47"/>
        <w:gridCol w:w="1843"/>
        <w:gridCol w:w="184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2747" w:type="dxa"/>
            <w:shd w:val="clear" w:color="auto" w:fill="D9D9D9"/>
            <w:vAlign w:val="center"/>
          </w:tcPr>
          <w:p>
            <w:pPr>
              <w:jc w:val="center"/>
              <w:rPr>
                <w:rFonts w:ascii="宋体" w:hAnsi="宋体"/>
                <w:b/>
              </w:rPr>
            </w:pPr>
            <w:r>
              <w:rPr>
                <w:rFonts w:hint="eastAsia"/>
                <w:b/>
              </w:rPr>
              <w:t>阶段</w:t>
            </w:r>
          </w:p>
        </w:tc>
        <w:tc>
          <w:tcPr>
            <w:tcW w:w="1843" w:type="dxa"/>
            <w:shd w:val="clear" w:color="auto" w:fill="D9D9D9"/>
            <w:vAlign w:val="center"/>
          </w:tcPr>
          <w:p>
            <w:pPr>
              <w:jc w:val="center"/>
              <w:rPr>
                <w:rFonts w:ascii="宋体" w:hAnsi="宋体"/>
                <w:b/>
              </w:rPr>
            </w:pPr>
            <w:r>
              <w:rPr>
                <w:rFonts w:hint="eastAsia"/>
                <w:b/>
              </w:rPr>
              <w:t>净值增长率（%）</w:t>
            </w:r>
          </w:p>
        </w:tc>
        <w:tc>
          <w:tcPr>
            <w:tcW w:w="1843" w:type="dxa"/>
            <w:shd w:val="clear" w:color="auto" w:fill="D9D9D9"/>
            <w:vAlign w:val="center"/>
          </w:tcPr>
          <w:p>
            <w:pPr>
              <w:jc w:val="center"/>
              <w:rPr>
                <w:rFonts w:ascii="宋体" w:hAnsi="宋体"/>
                <w:b/>
              </w:rPr>
            </w:pPr>
            <w:r>
              <w:rPr>
                <w:rFonts w:hint="eastAsia"/>
                <w:b/>
              </w:rPr>
              <w:t>业绩比较</w:t>
            </w:r>
            <w:r>
              <w:rPr>
                <w:b/>
              </w:rPr>
              <w:t>基准</w:t>
            </w:r>
            <w:r>
              <w:rPr>
                <w:rFonts w:hint="eastAsia"/>
                <w:b/>
              </w:rPr>
              <w:t>增长率-低（%）</w:t>
            </w:r>
          </w:p>
        </w:tc>
        <w:tc>
          <w:tcPr>
            <w:tcW w:w="1843" w:type="dxa"/>
            <w:shd w:val="clear" w:color="auto" w:fill="D9D9D9"/>
          </w:tcPr>
          <w:p>
            <w:pPr>
              <w:jc w:val="right"/>
              <w:rPr>
                <w:b/>
              </w:rPr>
            </w:pPr>
            <w:r>
              <w:rPr>
                <w:rFonts w:hint="eastAsia"/>
                <w:b/>
              </w:rPr>
              <w:t>业绩比较</w:t>
            </w:r>
            <w:r>
              <w:rPr>
                <w:b/>
              </w:rPr>
              <w:t>基准</w:t>
            </w:r>
            <w:r>
              <w:rPr>
                <w:rFonts w:hint="eastAsia"/>
                <w:b/>
              </w:rPr>
              <w:t>增长率-高（%）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2747" w:type="dxa"/>
            <w:vAlign w:val="center"/>
          </w:tcPr>
          <w:p>
            <w:pPr>
              <w:jc w:val="center"/>
              <w:rPr>
                <w:rFonts w:ascii="宋体" w:hAnsi="宋体"/>
              </w:rPr>
            </w:pPr>
            <w:r>
              <w:rPr>
                <w:rFonts w:hint="eastAsia" w:ascii="宋体" w:hAnsi="宋体"/>
              </w:rPr>
              <w:t>当期（</w:t>
            </w:r>
            <w:r>
              <w:rPr>
                <w:rFonts w:ascii="宋体" w:hAnsi="宋体"/>
              </w:rPr>
              <w:t>2021年10月01日</w:t>
            </w:r>
            <w:r>
              <w:rPr>
                <w:rFonts w:hint="eastAsia" w:ascii="宋体" w:hAnsi="宋体"/>
              </w:rPr>
              <w:t>至</w:t>
            </w:r>
            <w:r>
              <w:rPr>
                <w:rFonts w:ascii="宋体" w:hAnsi="宋体"/>
              </w:rPr>
              <w:t>2021年12月31日</w:t>
            </w:r>
            <w:r>
              <w:rPr>
                <w:rFonts w:hint="eastAsia" w:ascii="宋体" w:hAnsi="宋体"/>
              </w:rPr>
              <w:t>）</w:t>
            </w:r>
          </w:p>
        </w:tc>
        <w:tc>
          <w:tcPr>
            <w:tcW w:w="1843" w:type="dxa"/>
            <w:vAlign w:val="center"/>
          </w:tcPr>
          <w:p>
            <w:pPr>
              <w:spacing w:line="300" w:lineRule="auto"/>
              <w:jc w:val="right"/>
              <w:rPr>
                <w:rFonts w:ascii="微软雅黑" w:hAnsi="微软雅黑" w:eastAsia="微软雅黑" w:cs="微软雅黑"/>
              </w:rPr>
            </w:pPr>
            <w:r>
              <w:rPr>
                <w:rFonts w:ascii="宋体" w:hAnsi="宋体"/>
              </w:rPr>
              <w:t>1.80</w:t>
            </w:r>
          </w:p>
        </w:tc>
        <w:tc>
          <w:tcPr>
            <w:tcW w:w="1843" w:type="dxa"/>
            <w:vAlign w:val="center"/>
          </w:tcPr>
          <w:p>
            <w:pPr>
              <w:jc w:val="right"/>
              <w:rPr>
                <w:rFonts w:ascii="宋体" w:hAnsi="宋体"/>
                <w:color w:val="FF0000"/>
              </w:rPr>
            </w:pPr>
            <w:r>
              <w:rPr>
                <w:rFonts w:ascii="宋体" w:hAnsi="宋体"/>
              </w:rPr>
              <w:t>1.18</w:t>
            </w:r>
          </w:p>
        </w:tc>
        <w:tc>
          <w:tcPr>
            <w:tcW w:w="1843" w:type="dxa"/>
            <w:vAlign w:val="center"/>
          </w:tcPr>
          <w:p>
            <w:pPr>
              <w:jc w:val="right"/>
              <w:rPr>
                <w:rFonts w:ascii="宋体" w:hAnsi="宋体"/>
              </w:rPr>
            </w:pPr>
            <w:r>
              <w:rPr>
                <w:rFonts w:ascii="宋体" w:hAnsi="宋体"/>
              </w:rPr>
              <w:t>1.31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2747" w:type="dxa"/>
            <w:vAlign w:val="center"/>
          </w:tcPr>
          <w:p>
            <w:pPr>
              <w:jc w:val="center"/>
              <w:rPr>
                <w:rFonts w:ascii="宋体" w:hAnsi="宋体"/>
              </w:rPr>
            </w:pPr>
            <w:r>
              <w:rPr>
                <w:rFonts w:hint="eastAsia" w:ascii="宋体" w:hAnsi="宋体"/>
              </w:rPr>
              <w:t>自产品成立日至今</w:t>
            </w:r>
          </w:p>
        </w:tc>
        <w:tc>
          <w:tcPr>
            <w:tcW w:w="1843" w:type="dxa"/>
            <w:vAlign w:val="center"/>
          </w:tcPr>
          <w:p>
            <w:pPr>
              <w:jc w:val="right"/>
              <w:rPr>
                <w:rFonts w:ascii="宋体" w:hAnsi="宋体"/>
              </w:rPr>
            </w:pPr>
            <w:r>
              <w:rPr>
                <w:rFonts w:ascii="宋体" w:hAnsi="宋体"/>
              </w:rPr>
              <w:t>1.71</w:t>
            </w:r>
            <w:bookmarkStart w:id="7" w:name="OLE_LINK7"/>
            <w:bookmarkEnd w:id="7"/>
            <w:bookmarkStart w:id="8" w:name="OLE_LINK4"/>
            <w:bookmarkEnd w:id="8"/>
          </w:p>
        </w:tc>
        <w:tc>
          <w:tcPr>
            <w:tcW w:w="1843" w:type="dxa"/>
            <w:vAlign w:val="center"/>
          </w:tcPr>
          <w:p>
            <w:pPr>
              <w:jc w:val="right"/>
              <w:rPr>
                <w:rFonts w:ascii="宋体" w:hAnsi="宋体"/>
                <w:color w:val="FF0000"/>
              </w:rPr>
            </w:pPr>
            <w:r>
              <w:rPr>
                <w:rFonts w:ascii="宋体" w:hAnsi="宋体"/>
              </w:rPr>
              <w:t>1.22</w:t>
            </w:r>
          </w:p>
        </w:tc>
        <w:tc>
          <w:tcPr>
            <w:tcW w:w="1843" w:type="dxa"/>
            <w:vAlign w:val="center"/>
          </w:tcPr>
          <w:p>
            <w:pPr>
              <w:jc w:val="right"/>
              <w:rPr>
                <w:rFonts w:ascii="宋体" w:hAnsi="宋体"/>
                <w:color w:val="FF0000"/>
              </w:rPr>
            </w:pPr>
            <w:r>
              <w:rPr>
                <w:rFonts w:ascii="宋体" w:hAnsi="宋体"/>
              </w:rPr>
              <w:t>1.35</w:t>
            </w:r>
          </w:p>
        </w:tc>
      </w:tr>
    </w:tbl>
    <w:p>
      <w:pPr>
        <w:spacing w:before="156" w:beforeLines="50" w:line="360" w:lineRule="exact"/>
      </w:pPr>
    </w:p>
    <w:p>
      <w:pPr>
        <w:spacing w:before="156" w:beforeLines="50" w:line="360" w:lineRule="exact"/>
      </w:pPr>
      <w:r>
        <w:t>3.2.2</w:t>
      </w:r>
      <w:r>
        <w:rPr>
          <w:rFonts w:hint="eastAsia"/>
        </w:rPr>
        <w:t>产品累计份额净值增长率与同期业绩比较基准收益率变动比较走势图</w:t>
      </w:r>
    </w:p>
    <w:p>
      <w:pPr>
        <w:spacing w:before="156" w:beforeLines="50" w:after="156" w:afterLines="50" w:line="360" w:lineRule="auto"/>
        <w:jc w:val="center"/>
      </w:pPr>
      <w:r>
        <w:drawing>
          <wp:inline distT="0" distB="0" distL="114300" distR="114300">
            <wp:extent cx="4572000" cy="2743200"/>
            <wp:effectExtent l="4445" t="4445" r="14605" b="14605"/>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pPr>
        <w:spacing w:before="156" w:beforeLines="50" w:after="156" w:afterLines="50" w:line="360" w:lineRule="auto"/>
        <w:jc w:val="center"/>
      </w:pPr>
      <w:r>
        <w:rPr>
          <w:rFonts w:hint="eastAsia" w:asciiTheme="minorEastAsia" w:hAnsiTheme="minorEastAsia" w:eastAsiaTheme="minorEastAsia"/>
          <w:b/>
          <w:sz w:val="24"/>
          <w:szCs w:val="24"/>
        </w:rPr>
        <w:t>§</w:t>
      </w:r>
      <w:r>
        <w:rPr>
          <w:rFonts w:asciiTheme="minorEastAsia" w:hAnsiTheme="minorEastAsia" w:eastAsiaTheme="minorEastAsia"/>
          <w:b/>
          <w:sz w:val="24"/>
          <w:szCs w:val="24"/>
        </w:rPr>
        <w:t>4</w:t>
      </w:r>
      <w:r>
        <w:rPr>
          <w:rFonts w:hint="eastAsia" w:asciiTheme="minorEastAsia" w:hAnsiTheme="minorEastAsia" w:eastAsiaTheme="minorEastAsia"/>
          <w:b/>
          <w:sz w:val="24"/>
          <w:szCs w:val="24"/>
        </w:rPr>
        <w:t xml:space="preserve"> 管理人报告</w:t>
      </w:r>
    </w:p>
    <w:p>
      <w:pPr>
        <w:spacing w:before="156" w:beforeLines="50" w:line="360" w:lineRule="exact"/>
        <w:rPr>
          <w:b/>
          <w:color w:val="000000"/>
        </w:rPr>
      </w:pPr>
      <w:r>
        <w:rPr>
          <w:b/>
          <w:color w:val="000000"/>
        </w:rPr>
        <w:t xml:space="preserve">4.1 </w:t>
      </w:r>
      <w:r>
        <w:rPr>
          <w:rFonts w:hint="eastAsia"/>
          <w:b/>
          <w:color w:val="000000"/>
        </w:rPr>
        <w:t>报告期内产品投资策略和运作分析</w:t>
      </w:r>
    </w:p>
    <w:p>
      <w:pPr>
        <w:spacing w:before="156" w:beforeLines="50" w:line="360" w:lineRule="exact"/>
        <w:ind w:firstLine="420" w:firstLineChars="200"/>
        <w:rPr>
          <w:rFonts w:ascii="宋体" w:hAnsi="宋体"/>
          <w:color w:val="FF0000"/>
          <w:szCs w:val="21"/>
        </w:rPr>
      </w:pPr>
      <w:r>
        <w:rPr>
          <w:rFonts w:hint="eastAsia" w:ascii="宋体" w:hAnsi="宋体"/>
          <w:color w:val="FF0000"/>
          <w:szCs w:val="21"/>
        </w:rPr>
        <w:t>本产品为固定收益类理财产品，资产配置主要包括现金、同业回购等货币市场工具、债券和基金等满足安全性和流动性要求的金融产品，其中债券类配置以风险可控的城投债为主，进一步提高理财产品的收益水平。资产配置策略方面，管理人综合分析并持续跟踪基本面、政策面和市场面等多方面因素，结合宏观经济、国家政策和市场流动性等趋势研判，采取积极主动的投资管理策略，通过自上而下的定性与定量分析，对利率变化趋势、收益率曲线变化趋势、信用利差等影响固定收益资产价格的因素进行评估，对不同投资品种运用差异化投资策略。在信用风险可控的前提下，构建和调整固定收益投资策略，寻求平衡流动性与收益情况的最佳组合，采取票息策略，严格控制组合久期和杠杆水平，力求获得稳健或超过业绩比较基准的投资收益。</w:t>
      </w:r>
    </w:p>
    <w:p>
      <w:pPr>
        <w:spacing w:before="156" w:beforeLines="50" w:line="360" w:lineRule="exact"/>
      </w:pPr>
    </w:p>
    <w:p>
      <w:pPr>
        <w:spacing w:before="156" w:beforeLines="50" w:line="360" w:lineRule="exact"/>
        <w:rPr>
          <w:b/>
          <w:color w:val="000000"/>
        </w:rPr>
      </w:pPr>
      <w:r>
        <w:rPr>
          <w:b/>
          <w:color w:val="000000"/>
        </w:rPr>
        <w:t xml:space="preserve">4.2 </w:t>
      </w:r>
      <w:r>
        <w:rPr>
          <w:rFonts w:hint="eastAsia"/>
          <w:b/>
          <w:color w:val="000000"/>
        </w:rPr>
        <w:t>报告期内产品的业绩表现</w:t>
      </w:r>
    </w:p>
    <w:p>
      <w:pPr>
        <w:spacing w:before="156" w:beforeLines="50" w:line="360" w:lineRule="exact"/>
        <w:ind w:firstLine="420" w:firstLineChars="200"/>
        <w:rPr>
          <w:rFonts w:ascii="宋体" w:hAnsi="宋体"/>
          <w:color w:val="000000"/>
          <w:szCs w:val="21"/>
        </w:rPr>
      </w:pPr>
      <w:r>
        <w:rPr>
          <w:rFonts w:ascii="宋体" w:hAnsi="宋体"/>
          <w:color w:val="000000"/>
          <w:szCs w:val="21"/>
        </w:rPr>
        <w:t>在报告期内</w:t>
      </w:r>
      <w:r>
        <w:rPr>
          <w:rFonts w:hint="eastAsia" w:ascii="宋体" w:hAnsi="宋体"/>
          <w:color w:val="000000"/>
          <w:szCs w:val="21"/>
        </w:rPr>
        <w:t>，</w:t>
      </w:r>
      <w:r>
        <w:rPr>
          <w:rFonts w:ascii="宋体" w:hAnsi="宋体"/>
          <w:color w:val="000000"/>
          <w:szCs w:val="21"/>
        </w:rPr>
        <w:t>产品份额净值增长率为</w:t>
      </w:r>
      <w:r>
        <w:rPr>
          <w:rFonts w:ascii="宋体" w:hAnsi="宋体"/>
          <w:color w:val="FF0000"/>
          <w:szCs w:val="21"/>
        </w:rPr>
        <w:t>1.80%</w:t>
      </w:r>
      <w:r>
        <w:rPr>
          <w:rFonts w:hint="eastAsia" w:ascii="宋体" w:hAnsi="宋体"/>
          <w:color w:val="000000"/>
          <w:szCs w:val="21"/>
        </w:rPr>
        <w:t>。</w:t>
      </w:r>
      <w:r>
        <w:rPr>
          <w:rFonts w:ascii="宋体" w:hAnsi="宋体"/>
          <w:color w:val="000000"/>
          <w:szCs w:val="21"/>
        </w:rPr>
        <w:t>报告期内</w:t>
      </w:r>
      <w:r>
        <w:rPr>
          <w:rFonts w:hint="eastAsia" w:ascii="宋体" w:hAnsi="宋体"/>
          <w:color w:val="000000"/>
          <w:szCs w:val="21"/>
        </w:rPr>
        <w:t>，</w:t>
      </w:r>
      <w:r>
        <w:rPr>
          <w:rFonts w:ascii="宋体" w:hAnsi="宋体"/>
          <w:color w:val="000000"/>
          <w:szCs w:val="21"/>
        </w:rPr>
        <w:t>本期产品配置债券价格</w:t>
      </w:r>
      <w:r>
        <w:rPr>
          <w:rFonts w:ascii="宋体" w:hAnsi="宋体"/>
          <w:color w:val="FF0000"/>
          <w:szCs w:val="21"/>
        </w:rPr>
        <w:t>整体波动不大</w:t>
      </w:r>
      <w:r>
        <w:rPr>
          <w:rFonts w:hint="eastAsia" w:ascii="宋体" w:hAnsi="宋体"/>
          <w:color w:val="000000"/>
          <w:szCs w:val="21"/>
        </w:rPr>
        <w:t>，</w:t>
      </w:r>
      <w:r>
        <w:rPr>
          <w:rFonts w:ascii="宋体" w:hAnsi="宋体"/>
          <w:color w:val="000000"/>
          <w:szCs w:val="21"/>
        </w:rPr>
        <w:t>在可控范围内</w:t>
      </w:r>
      <w:r>
        <w:rPr>
          <w:rFonts w:hint="eastAsia" w:ascii="宋体" w:hAnsi="宋体"/>
          <w:color w:val="000000"/>
          <w:szCs w:val="21"/>
        </w:rPr>
        <w:t>。</w:t>
      </w:r>
    </w:p>
    <w:p>
      <w:pPr>
        <w:spacing w:before="156" w:beforeLines="50" w:line="360" w:lineRule="exact"/>
      </w:pPr>
    </w:p>
    <w:p>
      <w:pPr>
        <w:spacing w:before="156" w:beforeLines="50" w:line="360" w:lineRule="exact"/>
        <w:rPr>
          <w:b/>
          <w:color w:val="000000"/>
        </w:rPr>
      </w:pPr>
      <w:r>
        <w:rPr>
          <w:b/>
          <w:color w:val="000000"/>
        </w:rPr>
        <w:t>4.3</w:t>
      </w:r>
      <w:r>
        <w:rPr>
          <w:rFonts w:hint="eastAsia"/>
          <w:b/>
          <w:color w:val="000000"/>
        </w:rPr>
        <w:t>报告期内产品主要投资风险</w:t>
      </w:r>
    </w:p>
    <w:p>
      <w:pPr>
        <w:spacing w:before="156" w:beforeLines="50" w:after="156" w:afterLines="50" w:line="360" w:lineRule="auto"/>
        <w:jc w:val="left"/>
        <w:rPr>
          <w:rFonts w:ascii="宋体" w:hAnsi="宋体"/>
          <w:color w:val="FF0000"/>
          <w:szCs w:val="21"/>
        </w:rPr>
      </w:pPr>
      <w:r>
        <w:rPr>
          <w:rFonts w:hint="eastAsia" w:ascii="宋体" w:hAnsi="宋体"/>
          <w:color w:val="000000"/>
          <w:szCs w:val="21"/>
        </w:rPr>
        <w:tab/>
      </w:r>
      <w:r>
        <w:rPr>
          <w:rFonts w:hint="eastAsia" w:ascii="宋体" w:hAnsi="宋体"/>
          <w:color w:val="FF0000"/>
          <w:szCs w:val="21"/>
        </w:rPr>
        <w:t>产品的投资品种价格受经济因素、政治因素、投资心理和交易制度等各种因素影响引起波动，导致收益水平变化产生风险。主要包括：政策风险、经济周期风险、利率风险、信用风险、再投资风险等。</w:t>
      </w:r>
    </w:p>
    <w:p>
      <w:pPr>
        <w:widowControl/>
        <w:jc w:val="left"/>
        <w:rPr>
          <w:rFonts w:ascii="宋体" w:hAnsi="宋体"/>
          <w:color w:val="FF0000"/>
          <w:szCs w:val="21"/>
        </w:rPr>
      </w:pPr>
    </w:p>
    <w:p>
      <w:pPr>
        <w:spacing w:before="156" w:beforeLines="50" w:after="156" w:afterLines="50" w:line="360" w:lineRule="auto"/>
        <w:jc w:val="center"/>
      </w:pPr>
      <w:r>
        <w:rPr>
          <w:rFonts w:hint="eastAsia" w:asciiTheme="minorEastAsia" w:hAnsiTheme="minorEastAsia" w:eastAsiaTheme="minorEastAsia"/>
          <w:b/>
          <w:sz w:val="24"/>
          <w:szCs w:val="24"/>
        </w:rPr>
        <w:t>§</w:t>
      </w:r>
      <w:r>
        <w:rPr>
          <w:rFonts w:asciiTheme="minorEastAsia" w:hAnsiTheme="minorEastAsia" w:eastAsiaTheme="minorEastAsia"/>
          <w:b/>
          <w:sz w:val="24"/>
          <w:szCs w:val="24"/>
        </w:rPr>
        <w:t>5</w:t>
      </w:r>
      <w:r>
        <w:rPr>
          <w:rFonts w:hint="eastAsia" w:asciiTheme="minorEastAsia" w:hAnsiTheme="minorEastAsia" w:eastAsiaTheme="minorEastAsia"/>
          <w:b/>
          <w:sz w:val="24"/>
          <w:szCs w:val="24"/>
        </w:rPr>
        <w:t xml:space="preserve"> 投资组合报告</w:t>
      </w:r>
    </w:p>
    <w:p>
      <w:pPr>
        <w:spacing w:before="156" w:beforeLines="50" w:after="156" w:afterLines="50" w:line="360" w:lineRule="auto"/>
        <w:rPr>
          <w:b/>
        </w:rPr>
      </w:pPr>
      <w:r>
        <w:rPr>
          <w:b/>
        </w:rPr>
        <w:t>5.</w:t>
      </w:r>
      <w:r>
        <w:rPr>
          <w:rFonts w:hint="eastAsia"/>
          <w:b/>
        </w:rPr>
        <w:t>1期末直接前十项持仓资产情况</w:t>
      </w:r>
    </w:p>
    <w:tbl>
      <w:tblPr>
        <w:tblStyle w:val="11"/>
        <w:tblW w:w="9192"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878"/>
        <w:gridCol w:w="4179"/>
        <w:gridCol w:w="2066"/>
        <w:gridCol w:w="2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878" w:type="dxa"/>
            <w:shd w:val="clear" w:color="auto" w:fill="auto"/>
            <w:vAlign w:val="center"/>
          </w:tcPr>
          <w:p>
            <w:pPr>
              <w:jc w:val="center"/>
              <w:rPr>
                <w:szCs w:val="21"/>
              </w:rPr>
            </w:pPr>
            <w:r>
              <w:rPr>
                <w:rFonts w:hint="eastAsia" w:ascii="宋体"/>
                <w:szCs w:val="21"/>
              </w:rPr>
              <w:t>序号</w:t>
            </w:r>
          </w:p>
        </w:tc>
        <w:tc>
          <w:tcPr>
            <w:tcW w:w="4179" w:type="dxa"/>
            <w:shd w:val="clear" w:color="auto" w:fill="auto"/>
            <w:vAlign w:val="center"/>
          </w:tcPr>
          <w:p>
            <w:pPr>
              <w:jc w:val="center"/>
              <w:rPr>
                <w:szCs w:val="21"/>
              </w:rPr>
            </w:pPr>
            <w:r>
              <w:rPr>
                <w:rFonts w:hint="eastAsia" w:ascii="宋体"/>
                <w:szCs w:val="21"/>
              </w:rPr>
              <w:t>项目</w:t>
            </w:r>
          </w:p>
        </w:tc>
        <w:tc>
          <w:tcPr>
            <w:tcW w:w="2066" w:type="dxa"/>
            <w:shd w:val="clear" w:color="auto" w:fill="auto"/>
            <w:vAlign w:val="center"/>
          </w:tcPr>
          <w:p>
            <w:pPr>
              <w:jc w:val="center"/>
              <w:rPr>
                <w:szCs w:val="21"/>
              </w:rPr>
            </w:pPr>
            <w:r>
              <w:rPr>
                <w:rFonts w:hint="eastAsia" w:ascii="宋体"/>
                <w:szCs w:val="21"/>
              </w:rPr>
              <w:t>金额(元)</w:t>
            </w:r>
          </w:p>
        </w:tc>
        <w:tc>
          <w:tcPr>
            <w:tcW w:w="2069" w:type="dxa"/>
            <w:shd w:val="clear" w:color="auto" w:fill="auto"/>
            <w:vAlign w:val="center"/>
          </w:tcPr>
          <w:p>
            <w:pPr>
              <w:jc w:val="center"/>
              <w:rPr>
                <w:szCs w:val="21"/>
              </w:rPr>
            </w:pPr>
            <w:r>
              <w:rPr>
                <w:rFonts w:hint="eastAsia" w:ascii="宋体"/>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000000"/>
                <w:sz w:val="22"/>
                <w:szCs w:val="22"/>
              </w:rPr>
            </w:pPr>
            <w:r>
              <w:t>1</w:t>
            </w:r>
          </w:p>
        </w:tc>
        <w:tc>
          <w:tcPr>
            <w:tcW w:w="4179" w:type="dxa"/>
            <w:shd w:val="clear" w:color="auto" w:fill="auto"/>
          </w:tcPr>
          <w:p>
            <w:pPr>
              <w:jc w:val="left"/>
              <w:rPr>
                <w:rFonts w:ascii="宋体"/>
                <w:szCs w:val="21"/>
              </w:rPr>
            </w:pPr>
            <w:r>
              <w:t>鑫沅资产贵鑫财富1号集合资产管理</w:t>
            </w:r>
          </w:p>
        </w:tc>
        <w:tc>
          <w:tcPr>
            <w:tcW w:w="2066" w:type="dxa"/>
            <w:shd w:val="clear" w:color="auto" w:fill="auto"/>
          </w:tcPr>
          <w:p>
            <w:pPr>
              <w:jc w:val="right"/>
              <w:rPr>
                <w:rFonts w:ascii="宋体"/>
                <w:szCs w:val="21"/>
              </w:rPr>
            </w:pPr>
            <w:r>
              <w:t>120,454,526.63</w:t>
            </w:r>
          </w:p>
        </w:tc>
        <w:tc>
          <w:tcPr>
            <w:tcW w:w="2069" w:type="dxa"/>
            <w:shd w:val="clear" w:color="auto" w:fill="auto"/>
          </w:tcPr>
          <w:p>
            <w:pPr>
              <w:jc w:val="right"/>
              <w:rPr>
                <w:rFonts w:ascii="宋体"/>
                <w:szCs w:val="21"/>
              </w:rPr>
            </w:pPr>
            <w:r>
              <w:t>78.83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000000"/>
                <w:sz w:val="22"/>
                <w:szCs w:val="22"/>
              </w:rPr>
            </w:pPr>
            <w:r>
              <w:t>2</w:t>
            </w:r>
          </w:p>
        </w:tc>
        <w:tc>
          <w:tcPr>
            <w:tcW w:w="4179" w:type="dxa"/>
            <w:shd w:val="clear" w:color="auto" w:fill="auto"/>
          </w:tcPr>
          <w:p>
            <w:pPr>
              <w:jc w:val="left"/>
              <w:rPr>
                <w:rFonts w:ascii="宋体"/>
                <w:szCs w:val="21"/>
              </w:rPr>
            </w:pPr>
            <w:r>
              <w:t>鑫沅资产鑫梅花456号集合资产管</w:t>
            </w:r>
          </w:p>
        </w:tc>
        <w:tc>
          <w:tcPr>
            <w:tcW w:w="2066" w:type="dxa"/>
            <w:shd w:val="clear" w:color="auto" w:fill="auto"/>
          </w:tcPr>
          <w:p>
            <w:pPr>
              <w:jc w:val="right"/>
              <w:rPr>
                <w:rFonts w:ascii="宋体"/>
                <w:szCs w:val="21"/>
              </w:rPr>
            </w:pPr>
            <w:r>
              <w:t>32,349,095.60</w:t>
            </w:r>
          </w:p>
        </w:tc>
        <w:tc>
          <w:tcPr>
            <w:tcW w:w="2069" w:type="dxa"/>
            <w:shd w:val="clear" w:color="auto" w:fill="auto"/>
          </w:tcPr>
          <w:p>
            <w:pPr>
              <w:jc w:val="right"/>
              <w:rPr>
                <w:rFonts w:ascii="宋体"/>
                <w:szCs w:val="21"/>
              </w:rPr>
            </w:pPr>
            <w:r>
              <w:t>21.17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000000"/>
                <w:sz w:val="22"/>
                <w:szCs w:val="22"/>
              </w:rPr>
            </w:pPr>
          </w:p>
        </w:tc>
        <w:tc>
          <w:tcPr>
            <w:tcW w:w="4179" w:type="dxa"/>
            <w:shd w:val="clear" w:color="auto" w:fill="auto"/>
          </w:tcPr>
          <w:p>
            <w:pPr>
              <w:jc w:val="left"/>
              <w:rPr>
                <w:rFonts w:ascii="宋体"/>
                <w:szCs w:val="21"/>
              </w:rPr>
            </w:pPr>
            <w:r>
              <w:t>合计</w:t>
            </w:r>
          </w:p>
        </w:tc>
        <w:tc>
          <w:tcPr>
            <w:tcW w:w="2066" w:type="dxa"/>
            <w:shd w:val="clear" w:color="auto" w:fill="auto"/>
          </w:tcPr>
          <w:p>
            <w:pPr>
              <w:jc w:val="right"/>
              <w:rPr>
                <w:rFonts w:ascii="宋体"/>
                <w:szCs w:val="21"/>
              </w:rPr>
            </w:pPr>
            <w:r>
              <w:t>152,803,622.23</w:t>
            </w:r>
          </w:p>
        </w:tc>
        <w:tc>
          <w:tcPr>
            <w:tcW w:w="2069" w:type="dxa"/>
            <w:shd w:val="clear" w:color="auto" w:fill="auto"/>
          </w:tcPr>
          <w:p>
            <w:pPr>
              <w:jc w:val="right"/>
              <w:rPr>
                <w:rFonts w:ascii="宋体"/>
                <w:szCs w:val="21"/>
              </w:rPr>
            </w:pPr>
            <w:r>
              <w:t>100.00</w:t>
            </w:r>
          </w:p>
        </w:tc>
      </w:tr>
    </w:tbl>
    <w:p>
      <w:pPr>
        <w:spacing w:before="156" w:beforeLines="50" w:after="156" w:afterLines="50" w:line="360" w:lineRule="auto"/>
      </w:pPr>
      <w:r>
        <w:tab/>
      </w:r>
      <w:r>
        <w:rPr>
          <w:rFonts w:hint="eastAsia"/>
        </w:rPr>
        <w:t>注：由于四舍五入原因，各分项占资产总值的比例之和与合计可能存在尾差。</w:t>
      </w:r>
    </w:p>
    <w:p>
      <w:pPr>
        <w:spacing w:before="156" w:beforeLines="50" w:after="156" w:afterLines="50" w:line="360" w:lineRule="auto"/>
        <w:rPr>
          <w:b/>
        </w:rPr>
      </w:pPr>
    </w:p>
    <w:p>
      <w:pPr>
        <w:spacing w:before="156" w:beforeLines="50" w:after="156" w:afterLines="50" w:line="360" w:lineRule="auto"/>
        <w:rPr>
          <w:b/>
        </w:rPr>
      </w:pPr>
      <w:r>
        <w:rPr>
          <w:b/>
        </w:rPr>
        <w:t>5.</w:t>
      </w:r>
      <w:r>
        <w:rPr>
          <w:rFonts w:hint="eastAsia"/>
          <w:b/>
        </w:rPr>
        <w:t>2期末理财产品资产组合情况</w:t>
      </w:r>
    </w:p>
    <w:p>
      <w:pPr>
        <w:spacing w:before="156" w:beforeLines="50" w:after="156" w:afterLines="50" w:line="360" w:lineRule="auto"/>
      </w:pPr>
      <w:r>
        <w:t>5.</w:t>
      </w:r>
      <w:r>
        <w:rPr>
          <w:rFonts w:hint="eastAsia"/>
        </w:rPr>
        <w:t>2</w:t>
      </w:r>
      <w:r>
        <w:t>.1</w:t>
      </w:r>
      <w:r>
        <w:rPr>
          <w:rFonts w:hint="eastAsia"/>
        </w:rPr>
        <w:t>期末理财产品直接投资资产组合情况</w:t>
      </w:r>
    </w:p>
    <w:p>
      <w:pPr>
        <w:ind w:right="105"/>
        <w:jc w:val="right"/>
      </w:pPr>
    </w:p>
    <w:tbl>
      <w:tblPr>
        <w:tblStyle w:val="11"/>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402"/>
        <w:gridCol w:w="2126"/>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09" w:type="dxa"/>
            <w:shd w:val="clear" w:color="auto" w:fill="auto"/>
            <w:vAlign w:val="center"/>
          </w:tcPr>
          <w:p>
            <w:pPr>
              <w:jc w:val="center"/>
              <w:rPr>
                <w:rFonts w:ascii="宋体" w:hAnsi="宋体"/>
                <w:szCs w:val="21"/>
              </w:rPr>
            </w:pPr>
            <w:r>
              <w:rPr>
                <w:rFonts w:hint="eastAsia" w:ascii="宋体" w:hAnsi="宋体"/>
                <w:szCs w:val="21"/>
              </w:rPr>
              <w:t>序号</w:t>
            </w:r>
          </w:p>
        </w:tc>
        <w:tc>
          <w:tcPr>
            <w:tcW w:w="3402" w:type="dxa"/>
            <w:shd w:val="clear" w:color="auto" w:fill="auto"/>
            <w:vAlign w:val="center"/>
          </w:tcPr>
          <w:p>
            <w:pPr>
              <w:jc w:val="center"/>
              <w:rPr>
                <w:rFonts w:ascii="宋体" w:hAnsi="宋体"/>
                <w:szCs w:val="21"/>
              </w:rPr>
            </w:pPr>
            <w:r>
              <w:rPr>
                <w:rFonts w:hint="eastAsia" w:ascii="宋体" w:hAnsi="宋体"/>
                <w:szCs w:val="21"/>
              </w:rPr>
              <w:t>项目</w:t>
            </w:r>
          </w:p>
        </w:tc>
        <w:tc>
          <w:tcPr>
            <w:tcW w:w="2126" w:type="dxa"/>
            <w:shd w:val="clear" w:color="auto" w:fill="auto"/>
            <w:vAlign w:val="center"/>
          </w:tcPr>
          <w:p>
            <w:pPr>
              <w:jc w:val="center"/>
              <w:rPr>
                <w:rFonts w:ascii="宋体" w:hAnsi="宋体"/>
                <w:szCs w:val="21"/>
              </w:rPr>
            </w:pPr>
            <w:r>
              <w:rPr>
                <w:rFonts w:hint="eastAsia" w:ascii="宋体" w:hAnsi="宋体"/>
                <w:szCs w:val="21"/>
              </w:rPr>
              <w:t>金额(元)</w:t>
            </w:r>
          </w:p>
        </w:tc>
        <w:tc>
          <w:tcPr>
            <w:tcW w:w="2127" w:type="dxa"/>
            <w:shd w:val="clear" w:color="auto" w:fill="auto"/>
            <w:vAlign w:val="center"/>
          </w:tcPr>
          <w:p>
            <w:pPr>
              <w:jc w:val="center"/>
              <w:rPr>
                <w:rFonts w:ascii="宋体" w:hAnsi="宋体"/>
                <w:b/>
                <w:szCs w:val="21"/>
              </w:rPr>
            </w:pPr>
            <w:r>
              <w:rPr>
                <w:rFonts w:hint="eastAsia" w:ascii="宋体"/>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权益投资</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其中：普通股</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存托凭证</w:t>
            </w:r>
          </w:p>
        </w:tc>
        <w:tc>
          <w:tcPr>
            <w:tcW w:w="2126" w:type="dxa"/>
            <w:shd w:val="clear" w:color="auto" w:fill="auto"/>
            <w:vAlign w:val="center"/>
          </w:tcPr>
          <w:p>
            <w:pPr>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基金投资</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3</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固定收益投资</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其中：债券</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资产支持证券</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4</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金融衍生品投资</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其中：远期</w:t>
            </w:r>
          </w:p>
        </w:tc>
        <w:tc>
          <w:tcPr>
            <w:tcW w:w="2126" w:type="dxa"/>
            <w:shd w:val="clear" w:color="auto" w:fill="auto"/>
            <w:vAlign w:val="center"/>
          </w:tcPr>
          <w:p>
            <w:pPr>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期货</w:t>
            </w:r>
          </w:p>
        </w:tc>
        <w:tc>
          <w:tcPr>
            <w:tcW w:w="2126" w:type="dxa"/>
            <w:shd w:val="clear" w:color="auto" w:fill="auto"/>
            <w:vAlign w:val="center"/>
          </w:tcPr>
          <w:p>
            <w:pPr>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xml:space="preserve">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期权</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权证</w:t>
            </w:r>
          </w:p>
        </w:tc>
        <w:tc>
          <w:tcPr>
            <w:tcW w:w="2126" w:type="dxa"/>
            <w:shd w:val="clear" w:color="auto" w:fill="auto"/>
            <w:vAlign w:val="center"/>
          </w:tcPr>
          <w:p>
            <w:pPr>
              <w:ind w:right="105"/>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5</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买入返售金融资产</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其中：买断式回购的买入返售金融资产</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6</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货币市场工具</w:t>
            </w:r>
          </w:p>
        </w:tc>
        <w:tc>
          <w:tcPr>
            <w:tcW w:w="2126" w:type="dxa"/>
            <w:shd w:val="clear" w:color="auto" w:fill="auto"/>
            <w:vAlign w:val="center"/>
          </w:tcPr>
          <w:p>
            <w:pPr>
              <w:ind w:right="105"/>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7</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银行存款和结算备付金合计</w:t>
            </w:r>
          </w:p>
        </w:tc>
        <w:tc>
          <w:tcPr>
            <w:tcW w:w="2126" w:type="dxa"/>
            <w:shd w:val="clear" w:color="auto" w:fill="auto"/>
            <w:vAlign w:val="center"/>
          </w:tcPr>
          <w:p>
            <w:pPr>
              <w:jc w:val="right"/>
              <w:rPr>
                <w:rFonts w:ascii="宋体" w:hAnsi="宋体"/>
              </w:rPr>
            </w:pPr>
            <w:r>
              <w:rPr>
                <w:rFonts w:hint="eastAsia" w:ascii="宋体" w:hAnsi="宋体"/>
              </w:rPr>
              <w:t>486.11</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8</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拆放同业</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9</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资管产品</w:t>
            </w:r>
          </w:p>
        </w:tc>
        <w:tc>
          <w:tcPr>
            <w:tcW w:w="2126" w:type="dxa"/>
            <w:shd w:val="clear" w:color="auto" w:fill="auto"/>
            <w:vAlign w:val="center"/>
          </w:tcPr>
          <w:p>
            <w:pPr>
              <w:jc w:val="right"/>
              <w:rPr>
                <w:rFonts w:ascii="宋体" w:hAnsi="宋体"/>
              </w:rPr>
            </w:pPr>
            <w:r>
              <w:rPr>
                <w:rFonts w:hint="eastAsia" w:ascii="宋体" w:hAnsi="宋体"/>
              </w:rPr>
              <w:t>152,803,622.23</w:t>
            </w:r>
          </w:p>
        </w:tc>
        <w:tc>
          <w:tcPr>
            <w:tcW w:w="2127" w:type="dxa"/>
            <w:shd w:val="clear" w:color="auto" w:fill="auto"/>
            <w:vAlign w:val="center"/>
          </w:tcPr>
          <w:p>
            <w:pPr>
              <w:jc w:val="right"/>
              <w:rPr>
                <w:rFonts w:ascii="宋体" w:hAnsi="宋体"/>
              </w:rPr>
            </w:pPr>
            <w:r>
              <w:rPr>
                <w:rFonts w:hint="eastAsia" w:ascii="宋体" w:hAnsi="宋体"/>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ascii="宋体" w:hAnsi="宋体" w:cs="宋体"/>
                <w:kern w:val="0"/>
                <w:sz w:val="22"/>
                <w:szCs w:val="22"/>
              </w:rPr>
              <w:t>10</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其他资产</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tcPr>
          <w:p>
            <w:pPr>
              <w:jc w:val="left"/>
              <w:rPr>
                <w:rFonts w:ascii="宋体" w:hAnsi="宋体"/>
                <w:szCs w:val="21"/>
              </w:rPr>
            </w:pPr>
          </w:p>
        </w:tc>
        <w:tc>
          <w:tcPr>
            <w:tcW w:w="3402" w:type="dxa"/>
            <w:shd w:val="clear" w:color="auto" w:fill="auto"/>
          </w:tcPr>
          <w:p>
            <w:pPr>
              <w:jc w:val="left"/>
              <w:rPr>
                <w:rFonts w:ascii="宋体" w:hAnsi="宋体"/>
                <w:szCs w:val="21"/>
              </w:rPr>
            </w:pPr>
            <w:r>
              <w:rPr>
                <w:rFonts w:hint="eastAsia" w:ascii="宋体" w:hAnsi="宋体"/>
                <w:szCs w:val="21"/>
              </w:rPr>
              <w:t>合计</w:t>
            </w:r>
          </w:p>
        </w:tc>
        <w:tc>
          <w:tcPr>
            <w:tcW w:w="2126" w:type="dxa"/>
            <w:shd w:val="clear" w:color="auto" w:fill="auto"/>
          </w:tcPr>
          <w:p>
            <w:pPr>
              <w:jc w:val="right"/>
              <w:rPr>
                <w:rFonts w:ascii="宋体" w:hAnsi="宋体"/>
              </w:rPr>
            </w:pPr>
            <w:r>
              <w:rPr>
                <w:rFonts w:hint="eastAsia" w:ascii="宋体" w:hAnsi="宋体"/>
              </w:rPr>
              <w:t>152,804,108.34</w:t>
            </w:r>
          </w:p>
        </w:tc>
        <w:tc>
          <w:tcPr>
            <w:tcW w:w="2127" w:type="dxa"/>
            <w:shd w:val="clear" w:color="auto" w:fill="auto"/>
          </w:tcPr>
          <w:p>
            <w:pPr>
              <w:jc w:val="right"/>
              <w:rPr>
                <w:rFonts w:ascii="宋体" w:hAnsi="宋体"/>
              </w:rPr>
            </w:pPr>
            <w:r>
              <w:rPr>
                <w:rFonts w:hint="eastAsia" w:ascii="宋体" w:hAnsi="宋体"/>
              </w:rPr>
              <w:t>100.00</w:t>
            </w:r>
          </w:p>
        </w:tc>
      </w:tr>
    </w:tbl>
    <w:p>
      <w:pPr>
        <w:spacing w:before="156" w:beforeLines="50" w:after="156" w:afterLines="50" w:line="360" w:lineRule="auto"/>
      </w:pPr>
    </w:p>
    <w:p>
      <w:pPr>
        <w:spacing w:before="156" w:beforeLines="50" w:after="156" w:afterLines="50" w:line="360" w:lineRule="auto"/>
      </w:pPr>
      <w:r>
        <w:tab/>
      </w:r>
      <w:r>
        <w:rPr>
          <w:rFonts w:hint="eastAsia"/>
        </w:rPr>
        <w:t>注：由于四舍五入原因，各分项占资产总值的比例之和与合计可能存在尾差。</w:t>
      </w:r>
    </w:p>
    <w:p>
      <w:pPr>
        <w:spacing w:before="156" w:beforeLines="50" w:after="156" w:afterLines="50" w:line="360" w:lineRule="auto"/>
      </w:pPr>
      <w:r>
        <w:t>5.</w:t>
      </w:r>
      <w:r>
        <w:rPr>
          <w:rFonts w:hint="eastAsia"/>
        </w:rPr>
        <w:t>2</w:t>
      </w:r>
      <w:r>
        <w:t>.2</w:t>
      </w:r>
      <w:r>
        <w:rPr>
          <w:rFonts w:hint="eastAsia"/>
        </w:rPr>
        <w:t>期末理财产品间接投资资产组合情况</w:t>
      </w:r>
    </w:p>
    <w:p>
      <w:pPr>
        <w:jc w:val="right"/>
      </w:pPr>
    </w:p>
    <w:tbl>
      <w:tblPr>
        <w:tblStyle w:val="11"/>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402"/>
        <w:gridCol w:w="2126"/>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09" w:type="dxa"/>
            <w:shd w:val="clear" w:color="auto" w:fill="auto"/>
            <w:vAlign w:val="center"/>
          </w:tcPr>
          <w:p>
            <w:pPr>
              <w:jc w:val="center"/>
              <w:rPr>
                <w:rFonts w:ascii="宋体" w:hAnsi="宋体"/>
                <w:szCs w:val="21"/>
              </w:rPr>
            </w:pPr>
            <w:r>
              <w:rPr>
                <w:rFonts w:hint="eastAsia" w:ascii="宋体" w:hAnsi="宋体"/>
                <w:szCs w:val="21"/>
              </w:rPr>
              <w:t>序号</w:t>
            </w:r>
          </w:p>
        </w:tc>
        <w:tc>
          <w:tcPr>
            <w:tcW w:w="3402" w:type="dxa"/>
            <w:shd w:val="clear" w:color="auto" w:fill="auto"/>
            <w:vAlign w:val="center"/>
          </w:tcPr>
          <w:p>
            <w:pPr>
              <w:jc w:val="center"/>
              <w:rPr>
                <w:rFonts w:ascii="宋体" w:hAnsi="宋体"/>
                <w:szCs w:val="21"/>
              </w:rPr>
            </w:pPr>
            <w:r>
              <w:rPr>
                <w:rFonts w:hint="eastAsia" w:ascii="宋体" w:hAnsi="宋体"/>
                <w:szCs w:val="21"/>
              </w:rPr>
              <w:t>项目</w:t>
            </w:r>
          </w:p>
        </w:tc>
        <w:tc>
          <w:tcPr>
            <w:tcW w:w="2126" w:type="dxa"/>
            <w:shd w:val="clear" w:color="auto" w:fill="auto"/>
            <w:vAlign w:val="center"/>
          </w:tcPr>
          <w:p>
            <w:pPr>
              <w:jc w:val="center"/>
              <w:rPr>
                <w:rFonts w:ascii="宋体" w:hAnsi="宋体"/>
                <w:szCs w:val="21"/>
              </w:rPr>
            </w:pPr>
            <w:r>
              <w:rPr>
                <w:rFonts w:hint="eastAsia" w:ascii="宋体" w:hAnsi="宋体"/>
                <w:szCs w:val="21"/>
              </w:rPr>
              <w:t>金额(元)</w:t>
            </w:r>
          </w:p>
        </w:tc>
        <w:tc>
          <w:tcPr>
            <w:tcW w:w="2127" w:type="dxa"/>
            <w:shd w:val="clear" w:color="auto" w:fill="auto"/>
            <w:vAlign w:val="center"/>
          </w:tcPr>
          <w:p>
            <w:pPr>
              <w:jc w:val="center"/>
              <w:rPr>
                <w:rFonts w:ascii="宋体" w:hAnsi="宋体"/>
                <w:b/>
                <w:szCs w:val="21"/>
              </w:rPr>
            </w:pPr>
            <w:r>
              <w:rPr>
                <w:rFonts w:hint="eastAsia" w:ascii="宋体"/>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权益投资</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其中：普通股</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存托凭证</w:t>
            </w:r>
          </w:p>
        </w:tc>
        <w:tc>
          <w:tcPr>
            <w:tcW w:w="2126" w:type="dxa"/>
            <w:shd w:val="clear" w:color="auto" w:fill="auto"/>
            <w:vAlign w:val="center"/>
          </w:tcPr>
          <w:p>
            <w:pPr>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基金投资</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3</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固定收益投资</w:t>
            </w:r>
          </w:p>
        </w:tc>
        <w:tc>
          <w:tcPr>
            <w:tcW w:w="2126" w:type="dxa"/>
            <w:shd w:val="clear" w:color="auto" w:fill="auto"/>
            <w:vAlign w:val="center"/>
          </w:tcPr>
          <w:p>
            <w:pPr>
              <w:jc w:val="right"/>
              <w:rPr>
                <w:rFonts w:ascii="宋体" w:hAnsi="宋体"/>
              </w:rPr>
            </w:pPr>
            <w:r>
              <w:rPr>
                <w:rFonts w:hint="eastAsia" w:ascii="宋体" w:hAnsi="宋体"/>
              </w:rPr>
              <w:t>128,928,506.91</w:t>
            </w:r>
          </w:p>
        </w:tc>
        <w:tc>
          <w:tcPr>
            <w:tcW w:w="2127" w:type="dxa"/>
            <w:shd w:val="clear" w:color="auto" w:fill="auto"/>
            <w:vAlign w:val="center"/>
          </w:tcPr>
          <w:p>
            <w:pPr>
              <w:jc w:val="right"/>
              <w:rPr>
                <w:rFonts w:ascii="宋体" w:hAnsi="宋体"/>
              </w:rPr>
            </w:pPr>
            <w:r>
              <w:rPr>
                <w:rFonts w:hint="eastAsia" w:ascii="宋体" w:hAnsi="宋体"/>
              </w:rPr>
              <w:t>84.38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其中：债券</w:t>
            </w:r>
          </w:p>
        </w:tc>
        <w:tc>
          <w:tcPr>
            <w:tcW w:w="2126" w:type="dxa"/>
            <w:shd w:val="clear" w:color="auto" w:fill="auto"/>
            <w:vAlign w:val="center"/>
          </w:tcPr>
          <w:p>
            <w:pPr>
              <w:jc w:val="right"/>
              <w:rPr>
                <w:rFonts w:ascii="宋体" w:hAnsi="宋体"/>
              </w:rPr>
            </w:pPr>
            <w:r>
              <w:rPr>
                <w:rFonts w:hint="eastAsia" w:ascii="宋体" w:hAnsi="宋体"/>
              </w:rPr>
              <w:t>128,928,506.91</w:t>
            </w:r>
          </w:p>
        </w:tc>
        <w:tc>
          <w:tcPr>
            <w:tcW w:w="2127" w:type="dxa"/>
            <w:shd w:val="clear" w:color="auto" w:fill="auto"/>
            <w:vAlign w:val="center"/>
          </w:tcPr>
          <w:p>
            <w:pPr>
              <w:jc w:val="right"/>
              <w:rPr>
                <w:rFonts w:ascii="宋体" w:hAnsi="宋体"/>
              </w:rPr>
            </w:pPr>
            <w:r>
              <w:rPr>
                <w:rFonts w:hint="eastAsia" w:ascii="宋体" w:hAnsi="宋体"/>
              </w:rPr>
              <w:t>84.38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资产支持证券</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4</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金融衍生品投资</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其中：远期</w:t>
            </w:r>
          </w:p>
        </w:tc>
        <w:tc>
          <w:tcPr>
            <w:tcW w:w="2126" w:type="dxa"/>
            <w:shd w:val="clear" w:color="auto" w:fill="auto"/>
            <w:vAlign w:val="center"/>
          </w:tcPr>
          <w:p>
            <w:pPr>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期货</w:t>
            </w:r>
          </w:p>
        </w:tc>
        <w:tc>
          <w:tcPr>
            <w:tcW w:w="2126" w:type="dxa"/>
            <w:shd w:val="clear" w:color="auto" w:fill="auto"/>
            <w:vAlign w:val="center"/>
          </w:tcPr>
          <w:p>
            <w:pPr>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xml:space="preserve">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期权</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权证</w:t>
            </w:r>
          </w:p>
        </w:tc>
        <w:tc>
          <w:tcPr>
            <w:tcW w:w="2126" w:type="dxa"/>
            <w:shd w:val="clear" w:color="auto" w:fill="auto"/>
            <w:vAlign w:val="center"/>
          </w:tcPr>
          <w:p>
            <w:pPr>
              <w:ind w:right="105"/>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5</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买入返售金融资产</w:t>
            </w:r>
          </w:p>
        </w:tc>
        <w:tc>
          <w:tcPr>
            <w:tcW w:w="2126" w:type="dxa"/>
            <w:shd w:val="clear" w:color="auto" w:fill="auto"/>
            <w:vAlign w:val="center"/>
          </w:tcPr>
          <w:p>
            <w:pPr>
              <w:jc w:val="right"/>
              <w:rPr>
                <w:rFonts w:ascii="宋体" w:hAnsi="宋体"/>
              </w:rPr>
            </w:pPr>
            <w:r>
              <w:rPr>
                <w:rFonts w:hint="eastAsia" w:ascii="宋体" w:hAnsi="宋体"/>
              </w:rPr>
              <w:t>18,275,225.43</w:t>
            </w:r>
          </w:p>
        </w:tc>
        <w:tc>
          <w:tcPr>
            <w:tcW w:w="2127" w:type="dxa"/>
            <w:shd w:val="clear" w:color="auto" w:fill="auto"/>
            <w:vAlign w:val="center"/>
          </w:tcPr>
          <w:p>
            <w:pPr>
              <w:jc w:val="right"/>
              <w:rPr>
                <w:rFonts w:ascii="宋体" w:hAnsi="宋体"/>
              </w:rPr>
            </w:pPr>
            <w:r>
              <w:rPr>
                <w:rFonts w:hint="eastAsia" w:ascii="宋体" w:hAnsi="宋体"/>
              </w:rPr>
              <w:t>11.96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其中：买断式回购的买入返售金融资产</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6</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货币市场工具</w:t>
            </w:r>
          </w:p>
        </w:tc>
        <w:tc>
          <w:tcPr>
            <w:tcW w:w="2126" w:type="dxa"/>
            <w:shd w:val="clear" w:color="auto" w:fill="auto"/>
            <w:vAlign w:val="center"/>
          </w:tcPr>
          <w:p>
            <w:pPr>
              <w:ind w:right="105"/>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7</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银行存款和结算备付金合计</w:t>
            </w:r>
          </w:p>
        </w:tc>
        <w:tc>
          <w:tcPr>
            <w:tcW w:w="2126" w:type="dxa"/>
            <w:shd w:val="clear" w:color="auto" w:fill="auto"/>
            <w:vAlign w:val="center"/>
          </w:tcPr>
          <w:p>
            <w:pPr>
              <w:jc w:val="right"/>
              <w:rPr>
                <w:rFonts w:ascii="宋体" w:hAnsi="宋体"/>
              </w:rPr>
            </w:pPr>
            <w:r>
              <w:rPr>
                <w:rFonts w:hint="eastAsia" w:ascii="宋体" w:hAnsi="宋体"/>
              </w:rPr>
              <w:t>1,130,965.81</w:t>
            </w:r>
          </w:p>
        </w:tc>
        <w:tc>
          <w:tcPr>
            <w:tcW w:w="2127" w:type="dxa"/>
            <w:shd w:val="clear" w:color="auto" w:fill="auto"/>
            <w:vAlign w:val="center"/>
          </w:tcPr>
          <w:p>
            <w:pPr>
              <w:jc w:val="right"/>
              <w:rPr>
                <w:rFonts w:ascii="宋体" w:hAnsi="宋体"/>
              </w:rPr>
            </w:pPr>
            <w:r>
              <w:rPr>
                <w:rFonts w:hint="eastAsia" w:ascii="宋体" w:hAnsi="宋体"/>
              </w:rPr>
              <w:t>0.74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8</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拆放同业</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9</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资管产品</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ascii="宋体" w:hAnsi="宋体" w:cs="宋体"/>
                <w:kern w:val="0"/>
                <w:sz w:val="22"/>
                <w:szCs w:val="22"/>
              </w:rPr>
              <w:t>10</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其他资产</w:t>
            </w:r>
          </w:p>
        </w:tc>
        <w:tc>
          <w:tcPr>
            <w:tcW w:w="2126" w:type="dxa"/>
            <w:shd w:val="clear" w:color="auto" w:fill="auto"/>
            <w:vAlign w:val="center"/>
          </w:tcPr>
          <w:p>
            <w:pPr>
              <w:jc w:val="right"/>
              <w:rPr>
                <w:rFonts w:ascii="宋体" w:hAnsi="宋体"/>
              </w:rPr>
            </w:pPr>
            <w:r>
              <w:rPr>
                <w:rFonts w:hint="eastAsia" w:ascii="宋体" w:hAnsi="宋体"/>
              </w:rPr>
              <w:t>4,596,643.52</w:t>
            </w:r>
          </w:p>
        </w:tc>
        <w:tc>
          <w:tcPr>
            <w:tcW w:w="2127" w:type="dxa"/>
            <w:shd w:val="clear" w:color="auto" w:fill="auto"/>
            <w:vAlign w:val="center"/>
          </w:tcPr>
          <w:p>
            <w:pPr>
              <w:jc w:val="right"/>
              <w:rPr>
                <w:rFonts w:ascii="宋体" w:hAnsi="宋体"/>
              </w:rPr>
            </w:pPr>
            <w:r>
              <w:rPr>
                <w:rFonts w:hint="eastAsia" w:ascii="宋体" w:hAnsi="宋体"/>
              </w:rPr>
              <w:t>3.01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tcPr>
          <w:p>
            <w:pPr>
              <w:jc w:val="left"/>
              <w:rPr>
                <w:rFonts w:ascii="宋体" w:hAnsi="宋体"/>
                <w:szCs w:val="21"/>
              </w:rPr>
            </w:pPr>
          </w:p>
        </w:tc>
        <w:tc>
          <w:tcPr>
            <w:tcW w:w="3402" w:type="dxa"/>
            <w:shd w:val="clear" w:color="auto" w:fill="auto"/>
          </w:tcPr>
          <w:p>
            <w:pPr>
              <w:jc w:val="left"/>
              <w:rPr>
                <w:rFonts w:ascii="宋体" w:hAnsi="宋体"/>
                <w:szCs w:val="21"/>
              </w:rPr>
            </w:pPr>
            <w:r>
              <w:rPr>
                <w:rFonts w:hint="eastAsia" w:ascii="宋体" w:hAnsi="宋体"/>
                <w:szCs w:val="21"/>
              </w:rPr>
              <w:t>合计</w:t>
            </w:r>
          </w:p>
        </w:tc>
        <w:tc>
          <w:tcPr>
            <w:tcW w:w="2126" w:type="dxa"/>
            <w:shd w:val="clear" w:color="auto" w:fill="auto"/>
          </w:tcPr>
          <w:p>
            <w:pPr>
              <w:jc w:val="right"/>
              <w:rPr>
                <w:rFonts w:ascii="宋体" w:hAnsi="宋体"/>
              </w:rPr>
            </w:pPr>
            <w:r>
              <w:rPr>
                <w:rFonts w:hint="eastAsia" w:ascii="宋体" w:hAnsi="宋体"/>
              </w:rPr>
              <w:t>152,931,341.68</w:t>
            </w:r>
          </w:p>
        </w:tc>
        <w:tc>
          <w:tcPr>
            <w:tcW w:w="2127" w:type="dxa"/>
            <w:shd w:val="clear" w:color="auto" w:fill="auto"/>
          </w:tcPr>
          <w:p>
            <w:pPr>
              <w:jc w:val="right"/>
              <w:rPr>
                <w:rFonts w:ascii="宋体" w:hAnsi="宋体"/>
              </w:rPr>
            </w:pPr>
            <w:r>
              <w:rPr>
                <w:rFonts w:hint="eastAsia" w:ascii="宋体" w:hAnsi="宋体"/>
              </w:rPr>
              <w:t>100.08</w:t>
            </w:r>
          </w:p>
        </w:tc>
      </w:tr>
    </w:tbl>
    <w:p>
      <w:pPr>
        <w:spacing w:before="156" w:beforeLines="50" w:after="156" w:afterLines="50" w:line="360" w:lineRule="auto"/>
      </w:pPr>
    </w:p>
    <w:p>
      <w:pPr>
        <w:spacing w:before="156" w:beforeLines="50" w:after="156" w:afterLines="50" w:line="360" w:lineRule="auto"/>
      </w:pPr>
      <w:r>
        <w:rPr>
          <w:rFonts w:hint="eastAsia"/>
        </w:rPr>
        <w:t>注：由于四舍五入原因，各分项占资产总值的比例之和与合计可能存在尾差。</w:t>
      </w:r>
    </w:p>
    <w:p>
      <w:pPr>
        <w:spacing w:before="156" w:beforeLines="50" w:after="156" w:afterLines="50" w:line="360" w:lineRule="auto"/>
      </w:pPr>
    </w:p>
    <w:p>
      <w:pPr>
        <w:spacing w:before="156" w:beforeLines="50" w:after="156" w:afterLines="50" w:line="360" w:lineRule="auto"/>
      </w:pPr>
      <w:r>
        <w:t>5.2.</w:t>
      </w:r>
      <w:r>
        <w:rPr>
          <w:rFonts w:hint="eastAsia"/>
        </w:rPr>
        <w:t>3期末间接投资前十项持仓资产情况</w:t>
      </w:r>
    </w:p>
    <w:tbl>
      <w:tblPr>
        <w:tblStyle w:val="11"/>
        <w:tblW w:w="9192"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592"/>
        <w:gridCol w:w="4349"/>
        <w:gridCol w:w="2138"/>
        <w:gridCol w:w="2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592" w:type="dxa"/>
            <w:shd w:val="clear" w:color="auto" w:fill="auto"/>
            <w:vAlign w:val="center"/>
          </w:tcPr>
          <w:p>
            <w:pPr>
              <w:jc w:val="center"/>
              <w:rPr>
                <w:szCs w:val="21"/>
              </w:rPr>
            </w:pPr>
            <w:r>
              <w:rPr>
                <w:rFonts w:hint="eastAsia" w:ascii="宋体"/>
                <w:szCs w:val="21"/>
              </w:rPr>
              <w:t>序号</w:t>
            </w:r>
          </w:p>
        </w:tc>
        <w:tc>
          <w:tcPr>
            <w:tcW w:w="4349" w:type="dxa"/>
            <w:shd w:val="clear" w:color="auto" w:fill="auto"/>
            <w:vAlign w:val="center"/>
          </w:tcPr>
          <w:p>
            <w:pPr>
              <w:jc w:val="center"/>
              <w:rPr>
                <w:szCs w:val="21"/>
              </w:rPr>
            </w:pPr>
            <w:r>
              <w:rPr>
                <w:rFonts w:hint="eastAsia" w:ascii="宋体"/>
                <w:szCs w:val="21"/>
              </w:rPr>
              <w:t>项目</w:t>
            </w:r>
          </w:p>
        </w:tc>
        <w:tc>
          <w:tcPr>
            <w:tcW w:w="2138" w:type="dxa"/>
            <w:shd w:val="clear" w:color="auto" w:fill="auto"/>
            <w:vAlign w:val="center"/>
          </w:tcPr>
          <w:p>
            <w:pPr>
              <w:jc w:val="center"/>
              <w:rPr>
                <w:szCs w:val="21"/>
              </w:rPr>
            </w:pPr>
            <w:r>
              <w:rPr>
                <w:rFonts w:hint="eastAsia" w:ascii="宋体"/>
                <w:szCs w:val="21"/>
              </w:rPr>
              <w:t>金额(元)</w:t>
            </w:r>
          </w:p>
        </w:tc>
        <w:tc>
          <w:tcPr>
            <w:tcW w:w="2113" w:type="dxa"/>
            <w:shd w:val="clear" w:color="auto" w:fill="auto"/>
            <w:vAlign w:val="center"/>
          </w:tcPr>
          <w:p>
            <w:pPr>
              <w:jc w:val="center"/>
              <w:rPr>
                <w:szCs w:val="21"/>
              </w:rPr>
            </w:pPr>
            <w:r>
              <w:rPr>
                <w:rFonts w:hint="eastAsia" w:ascii="宋体"/>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1</w:t>
            </w:r>
          </w:p>
        </w:tc>
        <w:tc>
          <w:tcPr>
            <w:tcW w:w="4349" w:type="dxa"/>
            <w:shd w:val="clear" w:color="auto" w:fill="auto"/>
          </w:tcPr>
          <w:p>
            <w:pPr>
              <w:jc w:val="left"/>
              <w:rPr>
                <w:rFonts w:ascii="宋体"/>
                <w:szCs w:val="21"/>
              </w:rPr>
            </w:pPr>
            <w:r>
              <w:t>GC004</w:t>
            </w:r>
          </w:p>
        </w:tc>
        <w:tc>
          <w:tcPr>
            <w:tcW w:w="2138" w:type="dxa"/>
            <w:shd w:val="clear" w:color="auto" w:fill="auto"/>
          </w:tcPr>
          <w:p>
            <w:pPr>
              <w:jc w:val="right"/>
              <w:rPr>
                <w:rFonts w:ascii="宋体"/>
                <w:szCs w:val="21"/>
              </w:rPr>
            </w:pPr>
            <w:r>
              <w:t>18,275,225.43</w:t>
            </w:r>
          </w:p>
        </w:tc>
        <w:tc>
          <w:tcPr>
            <w:tcW w:w="2113" w:type="dxa"/>
            <w:shd w:val="clear" w:color="auto" w:fill="auto"/>
          </w:tcPr>
          <w:p>
            <w:pPr>
              <w:jc w:val="right"/>
              <w:rPr>
                <w:rFonts w:ascii="宋体"/>
                <w:szCs w:val="21"/>
              </w:rPr>
            </w:pPr>
            <w:r>
              <w:t>11.96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2</w:t>
            </w:r>
          </w:p>
        </w:tc>
        <w:tc>
          <w:tcPr>
            <w:tcW w:w="4349" w:type="dxa"/>
            <w:shd w:val="clear" w:color="auto" w:fill="auto"/>
          </w:tcPr>
          <w:p>
            <w:pPr>
              <w:jc w:val="left"/>
              <w:rPr>
                <w:rFonts w:ascii="宋体"/>
                <w:szCs w:val="21"/>
              </w:rPr>
            </w:pPr>
            <w:r>
              <w:t>20中天金融MTN001</w:t>
            </w:r>
          </w:p>
        </w:tc>
        <w:tc>
          <w:tcPr>
            <w:tcW w:w="2138" w:type="dxa"/>
            <w:shd w:val="clear" w:color="auto" w:fill="auto"/>
          </w:tcPr>
          <w:p>
            <w:pPr>
              <w:jc w:val="right"/>
              <w:rPr>
                <w:rFonts w:ascii="宋体"/>
                <w:szCs w:val="21"/>
              </w:rPr>
            </w:pPr>
            <w:r>
              <w:t>8,781,163.95</w:t>
            </w:r>
          </w:p>
        </w:tc>
        <w:tc>
          <w:tcPr>
            <w:tcW w:w="2113" w:type="dxa"/>
            <w:shd w:val="clear" w:color="auto" w:fill="auto"/>
          </w:tcPr>
          <w:p>
            <w:pPr>
              <w:jc w:val="right"/>
              <w:rPr>
                <w:rFonts w:ascii="宋体"/>
                <w:szCs w:val="21"/>
              </w:rPr>
            </w:pPr>
            <w:r>
              <w:t>5.75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3</w:t>
            </w:r>
          </w:p>
        </w:tc>
        <w:tc>
          <w:tcPr>
            <w:tcW w:w="4349" w:type="dxa"/>
            <w:shd w:val="clear" w:color="auto" w:fill="auto"/>
          </w:tcPr>
          <w:p>
            <w:pPr>
              <w:jc w:val="left"/>
              <w:rPr>
                <w:rFonts w:ascii="宋体"/>
                <w:szCs w:val="21"/>
              </w:rPr>
            </w:pPr>
            <w:r>
              <w:t>19中金05</w:t>
            </w:r>
          </w:p>
        </w:tc>
        <w:tc>
          <w:tcPr>
            <w:tcW w:w="2138" w:type="dxa"/>
            <w:shd w:val="clear" w:color="auto" w:fill="auto"/>
          </w:tcPr>
          <w:p>
            <w:pPr>
              <w:jc w:val="right"/>
              <w:rPr>
                <w:rFonts w:ascii="宋体"/>
                <w:szCs w:val="21"/>
              </w:rPr>
            </w:pPr>
            <w:r>
              <w:t>6,762,163.76</w:t>
            </w:r>
          </w:p>
        </w:tc>
        <w:tc>
          <w:tcPr>
            <w:tcW w:w="2113" w:type="dxa"/>
            <w:shd w:val="clear" w:color="auto" w:fill="auto"/>
          </w:tcPr>
          <w:p>
            <w:pPr>
              <w:jc w:val="right"/>
              <w:rPr>
                <w:rFonts w:ascii="宋体"/>
                <w:szCs w:val="21"/>
              </w:rPr>
            </w:pPr>
            <w:r>
              <w:t>4.43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4</w:t>
            </w:r>
          </w:p>
        </w:tc>
        <w:tc>
          <w:tcPr>
            <w:tcW w:w="4349" w:type="dxa"/>
            <w:shd w:val="clear" w:color="auto" w:fill="auto"/>
          </w:tcPr>
          <w:p>
            <w:pPr>
              <w:jc w:val="left"/>
              <w:rPr>
                <w:rFonts w:ascii="宋体"/>
                <w:szCs w:val="21"/>
              </w:rPr>
            </w:pPr>
            <w:r>
              <w:t>20双龙01</w:t>
            </w:r>
          </w:p>
        </w:tc>
        <w:tc>
          <w:tcPr>
            <w:tcW w:w="2138" w:type="dxa"/>
            <w:shd w:val="clear" w:color="auto" w:fill="auto"/>
          </w:tcPr>
          <w:p>
            <w:pPr>
              <w:jc w:val="right"/>
              <w:rPr>
                <w:rFonts w:ascii="宋体"/>
                <w:szCs w:val="21"/>
              </w:rPr>
            </w:pPr>
            <w:r>
              <w:t>6,620,597.81</w:t>
            </w:r>
          </w:p>
        </w:tc>
        <w:tc>
          <w:tcPr>
            <w:tcW w:w="2113" w:type="dxa"/>
            <w:shd w:val="clear" w:color="auto" w:fill="auto"/>
          </w:tcPr>
          <w:p>
            <w:pPr>
              <w:jc w:val="right"/>
              <w:rPr>
                <w:rFonts w:ascii="宋体"/>
                <w:szCs w:val="21"/>
              </w:rPr>
            </w:pPr>
            <w:r>
              <w:t>4.33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5</w:t>
            </w:r>
          </w:p>
        </w:tc>
        <w:tc>
          <w:tcPr>
            <w:tcW w:w="4349" w:type="dxa"/>
            <w:shd w:val="clear" w:color="auto" w:fill="auto"/>
          </w:tcPr>
          <w:p>
            <w:pPr>
              <w:jc w:val="left"/>
              <w:rPr>
                <w:rFonts w:ascii="宋体"/>
                <w:szCs w:val="21"/>
              </w:rPr>
            </w:pPr>
            <w:r>
              <w:t>21哈尔滨银行永续债02</w:t>
            </w:r>
          </w:p>
        </w:tc>
        <w:tc>
          <w:tcPr>
            <w:tcW w:w="2138" w:type="dxa"/>
            <w:shd w:val="clear" w:color="auto" w:fill="auto"/>
          </w:tcPr>
          <w:p>
            <w:pPr>
              <w:jc w:val="right"/>
              <w:rPr>
                <w:rFonts w:ascii="宋体"/>
                <w:szCs w:val="21"/>
              </w:rPr>
            </w:pPr>
            <w:r>
              <w:t>6,146,995.16</w:t>
            </w:r>
          </w:p>
        </w:tc>
        <w:tc>
          <w:tcPr>
            <w:tcW w:w="2113" w:type="dxa"/>
            <w:shd w:val="clear" w:color="auto" w:fill="auto"/>
          </w:tcPr>
          <w:p>
            <w:pPr>
              <w:jc w:val="right"/>
              <w:rPr>
                <w:rFonts w:ascii="宋体"/>
                <w:szCs w:val="21"/>
              </w:rPr>
            </w:pPr>
            <w:r>
              <w:t>4.02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6</w:t>
            </w:r>
          </w:p>
        </w:tc>
        <w:tc>
          <w:tcPr>
            <w:tcW w:w="4349" w:type="dxa"/>
            <w:shd w:val="clear" w:color="auto" w:fill="auto"/>
          </w:tcPr>
          <w:p>
            <w:pPr>
              <w:jc w:val="left"/>
              <w:rPr>
                <w:rFonts w:ascii="宋体"/>
                <w:szCs w:val="21"/>
              </w:rPr>
            </w:pPr>
            <w:r>
              <w:t>20兴安债</w:t>
            </w:r>
          </w:p>
        </w:tc>
        <w:tc>
          <w:tcPr>
            <w:tcW w:w="2138" w:type="dxa"/>
            <w:shd w:val="clear" w:color="auto" w:fill="auto"/>
          </w:tcPr>
          <w:p>
            <w:pPr>
              <w:jc w:val="right"/>
              <w:rPr>
                <w:rFonts w:ascii="宋体"/>
                <w:szCs w:val="21"/>
              </w:rPr>
            </w:pPr>
            <w:r>
              <w:t>6,145,870.66</w:t>
            </w:r>
          </w:p>
        </w:tc>
        <w:tc>
          <w:tcPr>
            <w:tcW w:w="2113" w:type="dxa"/>
            <w:shd w:val="clear" w:color="auto" w:fill="auto"/>
          </w:tcPr>
          <w:p>
            <w:pPr>
              <w:jc w:val="right"/>
              <w:rPr>
                <w:rFonts w:ascii="宋体"/>
                <w:szCs w:val="21"/>
              </w:rPr>
            </w:pPr>
            <w:r>
              <w:t>4.02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7</w:t>
            </w:r>
          </w:p>
        </w:tc>
        <w:tc>
          <w:tcPr>
            <w:tcW w:w="4349" w:type="dxa"/>
            <w:shd w:val="clear" w:color="auto" w:fill="auto"/>
          </w:tcPr>
          <w:p>
            <w:pPr>
              <w:jc w:val="left"/>
              <w:rPr>
                <w:rFonts w:ascii="宋体"/>
                <w:szCs w:val="21"/>
              </w:rPr>
            </w:pPr>
            <w:r>
              <w:t>20贵安G1</w:t>
            </w:r>
          </w:p>
        </w:tc>
        <w:tc>
          <w:tcPr>
            <w:tcW w:w="2138" w:type="dxa"/>
            <w:shd w:val="clear" w:color="auto" w:fill="auto"/>
          </w:tcPr>
          <w:p>
            <w:pPr>
              <w:jc w:val="right"/>
              <w:rPr>
                <w:rFonts w:ascii="宋体"/>
                <w:szCs w:val="21"/>
              </w:rPr>
            </w:pPr>
            <w:r>
              <w:t>6,112,229.31</w:t>
            </w:r>
          </w:p>
        </w:tc>
        <w:tc>
          <w:tcPr>
            <w:tcW w:w="2113" w:type="dxa"/>
            <w:shd w:val="clear" w:color="auto" w:fill="auto"/>
          </w:tcPr>
          <w:p>
            <w:pPr>
              <w:jc w:val="right"/>
              <w:rPr>
                <w:rFonts w:ascii="宋体"/>
                <w:szCs w:val="21"/>
              </w:rPr>
            </w:pPr>
            <w: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8</w:t>
            </w:r>
          </w:p>
        </w:tc>
        <w:tc>
          <w:tcPr>
            <w:tcW w:w="4349" w:type="dxa"/>
            <w:shd w:val="clear" w:color="auto" w:fill="auto"/>
          </w:tcPr>
          <w:p>
            <w:pPr>
              <w:jc w:val="left"/>
              <w:rPr>
                <w:rFonts w:ascii="宋体"/>
                <w:szCs w:val="21"/>
              </w:rPr>
            </w:pPr>
            <w:r>
              <w:t>19吉铁02</w:t>
            </w:r>
          </w:p>
        </w:tc>
        <w:tc>
          <w:tcPr>
            <w:tcW w:w="2138" w:type="dxa"/>
            <w:shd w:val="clear" w:color="auto" w:fill="auto"/>
          </w:tcPr>
          <w:p>
            <w:pPr>
              <w:jc w:val="right"/>
              <w:rPr>
                <w:rFonts w:ascii="宋体"/>
                <w:szCs w:val="21"/>
              </w:rPr>
            </w:pPr>
            <w:r>
              <w:t>4,507,846.43</w:t>
            </w:r>
          </w:p>
        </w:tc>
        <w:tc>
          <w:tcPr>
            <w:tcW w:w="2113" w:type="dxa"/>
            <w:shd w:val="clear" w:color="auto" w:fill="auto"/>
          </w:tcPr>
          <w:p>
            <w:pPr>
              <w:jc w:val="right"/>
              <w:rPr>
                <w:rFonts w:ascii="宋体"/>
                <w:szCs w:val="21"/>
              </w:rPr>
            </w:pPr>
            <w:r>
              <w:t>2.95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9</w:t>
            </w:r>
          </w:p>
        </w:tc>
        <w:tc>
          <w:tcPr>
            <w:tcW w:w="4349" w:type="dxa"/>
            <w:shd w:val="clear" w:color="auto" w:fill="auto"/>
          </w:tcPr>
          <w:p>
            <w:pPr>
              <w:jc w:val="left"/>
              <w:rPr>
                <w:rFonts w:ascii="宋体"/>
                <w:szCs w:val="21"/>
              </w:rPr>
            </w:pPr>
            <w:r>
              <w:t>20贵安G3</w:t>
            </w:r>
          </w:p>
        </w:tc>
        <w:tc>
          <w:tcPr>
            <w:tcW w:w="2138" w:type="dxa"/>
            <w:shd w:val="clear" w:color="auto" w:fill="auto"/>
          </w:tcPr>
          <w:p>
            <w:pPr>
              <w:jc w:val="right"/>
              <w:rPr>
                <w:rFonts w:ascii="宋体"/>
                <w:szCs w:val="21"/>
              </w:rPr>
            </w:pPr>
            <w:r>
              <w:t>4,113,802.27</w:t>
            </w:r>
          </w:p>
        </w:tc>
        <w:tc>
          <w:tcPr>
            <w:tcW w:w="2113" w:type="dxa"/>
            <w:shd w:val="clear" w:color="auto" w:fill="auto"/>
          </w:tcPr>
          <w:p>
            <w:pPr>
              <w:jc w:val="right"/>
              <w:rPr>
                <w:rFonts w:ascii="宋体"/>
                <w:szCs w:val="21"/>
              </w:rPr>
            </w:pPr>
            <w:r>
              <w:t>2.69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10</w:t>
            </w:r>
          </w:p>
        </w:tc>
        <w:tc>
          <w:tcPr>
            <w:tcW w:w="4349" w:type="dxa"/>
            <w:shd w:val="clear" w:color="auto" w:fill="auto"/>
          </w:tcPr>
          <w:p>
            <w:pPr>
              <w:jc w:val="left"/>
              <w:rPr>
                <w:rFonts w:ascii="宋体"/>
                <w:szCs w:val="21"/>
              </w:rPr>
            </w:pPr>
            <w:r>
              <w:t>19宏财专项债02</w:t>
            </w:r>
          </w:p>
        </w:tc>
        <w:tc>
          <w:tcPr>
            <w:tcW w:w="2138" w:type="dxa"/>
            <w:shd w:val="clear" w:color="auto" w:fill="auto"/>
          </w:tcPr>
          <w:p>
            <w:pPr>
              <w:jc w:val="right"/>
              <w:rPr>
                <w:rFonts w:ascii="宋体"/>
                <w:szCs w:val="21"/>
              </w:rPr>
            </w:pPr>
            <w:r>
              <w:t>4,082,878.47</w:t>
            </w:r>
          </w:p>
        </w:tc>
        <w:tc>
          <w:tcPr>
            <w:tcW w:w="2113" w:type="dxa"/>
            <w:shd w:val="clear" w:color="auto" w:fill="auto"/>
          </w:tcPr>
          <w:p>
            <w:pPr>
              <w:jc w:val="right"/>
              <w:rPr>
                <w:rFonts w:ascii="宋体"/>
                <w:szCs w:val="21"/>
              </w:rPr>
            </w:pPr>
            <w:r>
              <w:t>2.67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p>
        </w:tc>
        <w:tc>
          <w:tcPr>
            <w:tcW w:w="4349" w:type="dxa"/>
            <w:shd w:val="clear" w:color="auto" w:fill="auto"/>
          </w:tcPr>
          <w:p>
            <w:pPr>
              <w:jc w:val="left"/>
              <w:rPr>
                <w:rFonts w:ascii="宋体"/>
                <w:szCs w:val="21"/>
              </w:rPr>
            </w:pPr>
            <w:r>
              <w:t>合计</w:t>
            </w:r>
          </w:p>
        </w:tc>
        <w:tc>
          <w:tcPr>
            <w:tcW w:w="2138" w:type="dxa"/>
            <w:shd w:val="clear" w:color="auto" w:fill="auto"/>
          </w:tcPr>
          <w:p>
            <w:pPr>
              <w:jc w:val="right"/>
              <w:rPr>
                <w:rFonts w:ascii="宋体"/>
                <w:szCs w:val="21"/>
              </w:rPr>
            </w:pPr>
            <w:r>
              <w:t>71,548,773.24</w:t>
            </w:r>
          </w:p>
        </w:tc>
        <w:tc>
          <w:tcPr>
            <w:tcW w:w="2113" w:type="dxa"/>
            <w:shd w:val="clear" w:color="auto" w:fill="auto"/>
          </w:tcPr>
          <w:p>
            <w:pPr>
              <w:jc w:val="right"/>
              <w:rPr>
                <w:rFonts w:ascii="宋体"/>
                <w:szCs w:val="21"/>
              </w:rPr>
            </w:pPr>
            <w:r>
              <w:t>46.82</w:t>
            </w:r>
          </w:p>
        </w:tc>
      </w:tr>
    </w:tbl>
    <w:p>
      <w:pPr>
        <w:spacing w:before="156" w:beforeLines="50" w:after="156" w:afterLines="50" w:line="360" w:lineRule="auto"/>
      </w:pPr>
      <w:r>
        <w:tab/>
      </w:r>
      <w:r>
        <w:rPr>
          <w:rFonts w:hint="eastAsia"/>
        </w:rPr>
        <w:t>注：由于四舍五入原因，各分项占资产总值的比例之和与合计可能存在尾差。</w:t>
      </w:r>
    </w:p>
    <w:p>
      <w:pPr>
        <w:spacing w:before="156" w:beforeLines="50" w:after="156" w:afterLines="50" w:line="360" w:lineRule="auto"/>
      </w:pPr>
    </w:p>
    <w:p>
      <w:pPr>
        <w:spacing w:before="156" w:beforeLines="50" w:after="156" w:afterLines="50" w:line="360" w:lineRule="auto"/>
        <w:rPr>
          <w:b/>
        </w:rPr>
      </w:pPr>
      <w:r>
        <w:rPr>
          <w:b/>
        </w:rPr>
        <w:t>5.3</w:t>
      </w:r>
      <w:r>
        <w:rPr>
          <w:rFonts w:hint="eastAsia"/>
          <w:b/>
        </w:rPr>
        <w:t>所投资非标准化债权类资产情况</w:t>
      </w:r>
    </w:p>
    <w:p>
      <w:pPr>
        <w:spacing w:before="156" w:beforeLines="50" w:after="156" w:afterLines="50" w:line="360" w:lineRule="auto"/>
        <w:rPr>
          <w:rFonts w:ascii="宋体" w:hAnsi="宋体"/>
          <w:szCs w:val="21"/>
        </w:rPr>
      </w:pPr>
      <w:r>
        <w:rPr>
          <w:rFonts w:hint="eastAsia" w:ascii="宋体" w:hAnsi="宋体"/>
          <w:szCs w:val="21"/>
        </w:rPr>
        <w:tab/>
      </w:r>
      <w:r>
        <w:rPr>
          <w:rFonts w:ascii="宋体" w:hAnsi="宋体"/>
          <w:szCs w:val="21"/>
        </w:rPr>
        <w:t>本报告期内，本理财计划未投资非标准化债权类资产。</w:t>
      </w:r>
    </w:p>
    <w:p>
      <w:pPr>
        <w:spacing w:before="156" w:beforeLines="50" w:after="156" w:afterLines="50" w:line="360" w:lineRule="auto"/>
        <w:rPr>
          <w:b/>
        </w:rPr>
      </w:pPr>
    </w:p>
    <w:p>
      <w:pPr>
        <w:spacing w:before="156" w:beforeLines="50" w:after="156" w:afterLines="50" w:line="360" w:lineRule="auto"/>
        <w:rPr>
          <w:b/>
        </w:rPr>
      </w:pPr>
      <w:r>
        <w:rPr>
          <w:b/>
        </w:rPr>
        <w:t>5.4</w:t>
      </w:r>
      <w:r>
        <w:rPr>
          <w:rFonts w:hint="eastAsia"/>
          <w:b/>
        </w:rPr>
        <w:t>投资组合的流动性风险分析</w:t>
      </w:r>
    </w:p>
    <w:p>
      <w:pPr>
        <w:spacing w:before="156" w:beforeLines="50" w:after="156" w:afterLines="50" w:line="360" w:lineRule="atLeast"/>
        <w:ind w:firstLine="420" w:firstLineChars="200"/>
        <w:rPr>
          <w:rFonts w:ascii="宋体"/>
          <w:color w:val="FF0000"/>
        </w:rPr>
      </w:pPr>
      <w:r>
        <w:rPr>
          <w:rFonts w:hint="eastAsia" w:ascii="宋体"/>
          <w:color w:val="FF0000"/>
        </w:rPr>
        <w:t>流动性风险是指因市场内部和外部的原因造成理财产品所持金融工具变现的难易程度，如果持有资产不能迅速变成现金，或者变现时对理财产品净值产生冲击成本，都会影响资产运作和收益水平。尤其是在资产委托人进行大额退出申请时，如果资产管理计划变现能力差，可能会产生资产管理计划财产调整的困难，导致流动性风险，从而影响资产管理计划财产收益。本产品为封闭式理财产品，资产配置主要包括现金、同业回购等货币市场工具、债券和基金等满足安全性和流动性要求的金融产品，具有较好的流动性，可变现能力较强。此外，我行在报告期内对持有债券及整体组合进行市值分析，根据市场行情调整投资方案和具体的交易策略，降低外部事件对我行投资组合的流动性风险。</w:t>
      </w:r>
    </w:p>
    <w:p>
      <w:pPr>
        <w:spacing w:before="156" w:beforeLines="50" w:after="156" w:afterLines="50" w:line="360" w:lineRule="atLeast"/>
        <w:ind w:firstLine="420" w:firstLineChars="200"/>
        <w:rPr>
          <w:rFonts w:ascii="宋体"/>
        </w:rPr>
      </w:pPr>
      <w:r>
        <w:rPr>
          <w:rFonts w:hint="eastAsia" w:ascii="宋体"/>
        </w:rPr>
        <w:t xml:space="preserve"> </w:t>
      </w:r>
    </w:p>
    <w:p>
      <w:pPr>
        <w:spacing w:before="156" w:beforeLines="50" w:after="156" w:afterLines="50" w:line="360" w:lineRule="auto"/>
        <w:jc w:val="center"/>
      </w:pPr>
      <w:r>
        <w:rPr>
          <w:rFonts w:hint="eastAsia" w:asciiTheme="minorEastAsia" w:hAnsiTheme="minorEastAsia" w:eastAsiaTheme="minorEastAsia"/>
          <w:b/>
          <w:sz w:val="24"/>
          <w:szCs w:val="24"/>
        </w:rPr>
        <w:t>§</w:t>
      </w:r>
      <w:r>
        <w:rPr>
          <w:rFonts w:asciiTheme="minorEastAsia" w:hAnsiTheme="minorEastAsia" w:eastAsiaTheme="minorEastAsia"/>
          <w:b/>
          <w:sz w:val="24"/>
          <w:szCs w:val="24"/>
        </w:rPr>
        <w:t>6</w:t>
      </w:r>
      <w:r>
        <w:rPr>
          <w:rFonts w:hint="eastAsia" w:asciiTheme="minorEastAsia" w:hAnsiTheme="minorEastAsia" w:eastAsiaTheme="minorEastAsia"/>
          <w:b/>
          <w:sz w:val="24"/>
          <w:szCs w:val="24"/>
        </w:rPr>
        <w:t xml:space="preserve"> 关联交易情况说明</w:t>
      </w:r>
    </w:p>
    <w:p>
      <w:pPr>
        <w:rPr>
          <w:color w:val="FF0000"/>
        </w:rPr>
      </w:pPr>
      <w:r>
        <w:rPr>
          <w:rFonts w:hint="eastAsia" w:ascii="宋体"/>
        </w:rPr>
        <w:tab/>
      </w:r>
      <w:r>
        <w:rPr>
          <w:rFonts w:hint="eastAsia" w:ascii="宋体"/>
          <w:color w:val="FF0000"/>
        </w:rPr>
        <w:t>本报告期内，本计划未发生关联交易。</w:t>
      </w:r>
    </w:p>
    <w:p>
      <w:pPr>
        <w:spacing w:line="360" w:lineRule="auto"/>
      </w:pPr>
    </w:p>
    <w:p>
      <w:pPr>
        <w:spacing w:before="156" w:beforeLines="50" w:after="156" w:afterLines="50" w:line="360" w:lineRule="auto"/>
        <w:jc w:val="center"/>
      </w:pPr>
      <w:r>
        <w:rPr>
          <w:rFonts w:hint="eastAsia" w:asciiTheme="minorEastAsia" w:hAnsiTheme="minorEastAsia" w:eastAsiaTheme="minorEastAsia"/>
          <w:b/>
          <w:sz w:val="24"/>
          <w:szCs w:val="24"/>
        </w:rPr>
        <w:t>§</w:t>
      </w:r>
      <w:r>
        <w:rPr>
          <w:rFonts w:asciiTheme="minorEastAsia" w:hAnsiTheme="minorEastAsia" w:eastAsiaTheme="minorEastAsia"/>
          <w:b/>
          <w:sz w:val="24"/>
          <w:szCs w:val="24"/>
        </w:rPr>
        <w:t>7</w:t>
      </w:r>
      <w:r>
        <w:rPr>
          <w:rFonts w:hint="eastAsia" w:asciiTheme="minorEastAsia" w:hAnsiTheme="minorEastAsia" w:eastAsiaTheme="minorEastAsia"/>
          <w:b/>
          <w:sz w:val="24"/>
          <w:szCs w:val="24"/>
        </w:rPr>
        <w:t xml:space="preserve"> 影响投资者决策的其他重要信息</w:t>
      </w:r>
    </w:p>
    <w:p>
      <w:pPr>
        <w:spacing w:line="360" w:lineRule="auto"/>
      </w:pPr>
      <w:r>
        <w:t>7.1 影响投资者决策的其他重要信息</w:t>
      </w:r>
    </w:p>
    <w:p>
      <w:pPr>
        <w:spacing w:line="360" w:lineRule="auto"/>
      </w:pPr>
      <w:r>
        <w:t>无。</w:t>
      </w:r>
    </w:p>
    <w:p>
      <w:pPr>
        <w:spacing w:line="360" w:lineRule="auto"/>
      </w:pPr>
    </w:p>
    <w:p>
      <w:pPr>
        <w:spacing w:line="360" w:lineRule="auto"/>
      </w:pPr>
      <w:r>
        <w:t>7.2其他事项。</w:t>
      </w:r>
    </w:p>
    <w:p>
      <w:pPr>
        <w:spacing w:line="360" w:lineRule="auto"/>
      </w:pPr>
      <w:r>
        <w:t>无。</w:t>
      </w:r>
    </w:p>
    <w:p>
      <w:pPr>
        <w:spacing w:before="156" w:beforeLines="50" w:after="156" w:afterLines="50"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w:t>
      </w:r>
      <w:r>
        <w:rPr>
          <w:rFonts w:asciiTheme="minorEastAsia" w:hAnsiTheme="minorEastAsia" w:eastAsiaTheme="minorEastAsia"/>
          <w:b/>
          <w:sz w:val="24"/>
          <w:szCs w:val="24"/>
        </w:rPr>
        <w:t>8</w:t>
      </w:r>
      <w:r>
        <w:rPr>
          <w:rFonts w:hint="eastAsia" w:asciiTheme="minorEastAsia" w:hAnsiTheme="minorEastAsia" w:eastAsiaTheme="minorEastAsia"/>
          <w:b/>
          <w:sz w:val="24"/>
          <w:szCs w:val="24"/>
        </w:rPr>
        <w:t xml:space="preserve"> 托管人报告</w:t>
      </w:r>
    </w:p>
    <w:p>
      <w:pPr>
        <w:spacing w:line="360" w:lineRule="auto"/>
        <w:ind w:right="-107" w:rightChars="-51" w:firstLine="420" w:firstLineChars="200"/>
        <w:jc w:val="left"/>
        <w:rPr>
          <w:rFonts w:ascii="宋体" w:hAnsi="宋体"/>
          <w:szCs w:val="21"/>
        </w:rPr>
      </w:pPr>
      <w:r>
        <w:rPr>
          <w:rFonts w:hint="eastAsia" w:ascii="宋体" w:hAnsi="宋体"/>
          <w:szCs w:val="21"/>
        </w:rPr>
        <w:t>招商银行具备完善的公司治理结构、内部稽核监控制度和风险控制制度，我行在履行托管职责中，严格遵守有关法律法规、托管协议的规定，尽职尽责地履行托管义务并安全保管托管资产。</w:t>
      </w:r>
    </w:p>
    <w:p>
      <w:pPr>
        <w:spacing w:line="360" w:lineRule="auto"/>
      </w:pPr>
    </w:p>
    <w:p>
      <w:pPr>
        <w:spacing w:line="360" w:lineRule="auto"/>
      </w:pPr>
    </w:p>
    <w:p>
      <w:pPr>
        <w:spacing w:line="360" w:lineRule="auto"/>
        <w:rPr>
          <w:color w:val="FF0000"/>
        </w:rPr>
      </w:pPr>
      <w:r>
        <w:rPr>
          <w:color w:val="FF0000"/>
        </w:rPr>
        <w:t>查阅方式网站：http://www.gynsh.com咨询电话：0851-88115057</w:t>
      </w:r>
    </w:p>
    <w:p>
      <w:pPr>
        <w:spacing w:line="360" w:lineRule="auto"/>
        <w:jc w:val="right"/>
        <w:rPr>
          <w:rFonts w:ascii="宋体" w:hAnsi="宋体"/>
          <w:szCs w:val="21"/>
        </w:rPr>
      </w:pPr>
      <w:r>
        <w:rPr>
          <w:rFonts w:ascii="宋体" w:hAnsi="宋体"/>
          <w:szCs w:val="21"/>
        </w:rPr>
        <w:t>贵阳农村商业银行股份有限公司</w:t>
      </w:r>
    </w:p>
    <w:p>
      <w:pPr>
        <w:spacing w:line="360" w:lineRule="auto"/>
        <w:jc w:val="right"/>
        <w:rPr>
          <w:rFonts w:ascii="宋体" w:hAnsi="宋体"/>
          <w:szCs w:val="21"/>
        </w:rPr>
      </w:pPr>
      <w:bookmarkStart w:id="9" w:name="OLE_LINK10"/>
      <w:bookmarkStart w:id="10" w:name="OLE_LINK11"/>
      <w:r>
        <w:rPr>
          <w:rFonts w:ascii="宋体" w:hAnsi="宋体"/>
          <w:szCs w:val="21"/>
        </w:rPr>
        <w:t>2022年01月15日</w:t>
      </w:r>
      <w:bookmarkEnd w:id="9"/>
      <w:bookmarkEnd w:id="1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D073D6BE-8040-4C87-898C-794978359D38}"/>
  </w:font>
  <w:font w:name="Arial">
    <w:panose1 w:val="020B0604020202020204"/>
    <w:charset w:val="00"/>
    <w:family w:val="swiss"/>
    <w:pitch w:val="default"/>
    <w:sig w:usb0="E0002EFF" w:usb1="C000785B" w:usb2="00000009" w:usb3="00000000" w:csb0="400001FF" w:csb1="FFFF0000"/>
  </w:font>
  <w:font w:name="方正小标宋简体">
    <w:panose1 w:val="02000000000000000000"/>
    <w:charset w:val="86"/>
    <w:family w:val="auto"/>
    <w:pitch w:val="default"/>
    <w:sig w:usb0="00000001" w:usb1="08000000" w:usb2="00000000" w:usb3="00000000" w:csb0="00040000" w:csb1="00000000"/>
    <w:embedRegular r:id="rId2" w:fontKey="{F67E1F1A-ECF2-4EA8-B0BD-CAB21B6ABACC}"/>
  </w:font>
  <w:font w:name="微软雅黑">
    <w:panose1 w:val="020B0503020204020204"/>
    <w:charset w:val="86"/>
    <w:family w:val="swiss"/>
    <w:pitch w:val="default"/>
    <w:sig w:usb0="80000287" w:usb1="2ACF3C50" w:usb2="00000016" w:usb3="00000000" w:csb0="0004001F" w:csb1="00000000"/>
    <w:embedRegular r:id="rId3" w:fontKey="{5A6538DA-35C1-4E01-B2B5-2981C04FE514}"/>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dit="readOnly" w:enforcement="1" w:cryptProviderType="rsaFull" w:cryptAlgorithmClass="hash" w:cryptAlgorithmType="typeAny" w:cryptAlgorithmSid="4" w:cryptSpinCount="0" w:hash="28VGEOAEYLxiKSXfHotYk9FGxjk=" w:salt="vKKb2GDzqINz/fU8+oS8mw=="/>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8229F"/>
    <w:rsid w:val="000016F0"/>
    <w:rsid w:val="000019DD"/>
    <w:rsid w:val="00015FAD"/>
    <w:rsid w:val="00027C01"/>
    <w:rsid w:val="00030234"/>
    <w:rsid w:val="00030D78"/>
    <w:rsid w:val="000420CB"/>
    <w:rsid w:val="00051A5E"/>
    <w:rsid w:val="00051F66"/>
    <w:rsid w:val="000841F1"/>
    <w:rsid w:val="00091C41"/>
    <w:rsid w:val="000A071D"/>
    <w:rsid w:val="000B1DF6"/>
    <w:rsid w:val="000D2B57"/>
    <w:rsid w:val="000D55B2"/>
    <w:rsid w:val="000E7CE6"/>
    <w:rsid w:val="00107817"/>
    <w:rsid w:val="00126D1F"/>
    <w:rsid w:val="00154BFD"/>
    <w:rsid w:val="00183822"/>
    <w:rsid w:val="001A7E08"/>
    <w:rsid w:val="001C3FD1"/>
    <w:rsid w:val="001C5AB6"/>
    <w:rsid w:val="001D4A06"/>
    <w:rsid w:val="001D65A6"/>
    <w:rsid w:val="00201555"/>
    <w:rsid w:val="00203DE0"/>
    <w:rsid w:val="002173B4"/>
    <w:rsid w:val="002173D7"/>
    <w:rsid w:val="002271D8"/>
    <w:rsid w:val="002339B0"/>
    <w:rsid w:val="00237338"/>
    <w:rsid w:val="002406B1"/>
    <w:rsid w:val="0026096E"/>
    <w:rsid w:val="002844EB"/>
    <w:rsid w:val="00284894"/>
    <w:rsid w:val="002868DE"/>
    <w:rsid w:val="00287831"/>
    <w:rsid w:val="00287DC8"/>
    <w:rsid w:val="00290E89"/>
    <w:rsid w:val="00292EB2"/>
    <w:rsid w:val="00295FB9"/>
    <w:rsid w:val="002B02CF"/>
    <w:rsid w:val="002C36FC"/>
    <w:rsid w:val="002D2A83"/>
    <w:rsid w:val="002D5C47"/>
    <w:rsid w:val="002D5DC1"/>
    <w:rsid w:val="002E0CAF"/>
    <w:rsid w:val="002E2473"/>
    <w:rsid w:val="002F2CDE"/>
    <w:rsid w:val="003030A1"/>
    <w:rsid w:val="00332BF6"/>
    <w:rsid w:val="00345138"/>
    <w:rsid w:val="00347B23"/>
    <w:rsid w:val="00357D78"/>
    <w:rsid w:val="00383097"/>
    <w:rsid w:val="00383F8D"/>
    <w:rsid w:val="003862F3"/>
    <w:rsid w:val="003962BF"/>
    <w:rsid w:val="003A233F"/>
    <w:rsid w:val="003C0D70"/>
    <w:rsid w:val="003F11E9"/>
    <w:rsid w:val="0040185E"/>
    <w:rsid w:val="00416640"/>
    <w:rsid w:val="004249DF"/>
    <w:rsid w:val="00425A8D"/>
    <w:rsid w:val="004276F4"/>
    <w:rsid w:val="00456DD0"/>
    <w:rsid w:val="004725E7"/>
    <w:rsid w:val="00477D60"/>
    <w:rsid w:val="00483E7F"/>
    <w:rsid w:val="00494EE4"/>
    <w:rsid w:val="004C51C7"/>
    <w:rsid w:val="004E4337"/>
    <w:rsid w:val="005006CE"/>
    <w:rsid w:val="0050305E"/>
    <w:rsid w:val="005030C6"/>
    <w:rsid w:val="00531FE9"/>
    <w:rsid w:val="00553420"/>
    <w:rsid w:val="00571FC5"/>
    <w:rsid w:val="00581537"/>
    <w:rsid w:val="00587297"/>
    <w:rsid w:val="005A3474"/>
    <w:rsid w:val="005C161C"/>
    <w:rsid w:val="005D6CCB"/>
    <w:rsid w:val="005D790B"/>
    <w:rsid w:val="005F2112"/>
    <w:rsid w:val="005F441A"/>
    <w:rsid w:val="005F62A5"/>
    <w:rsid w:val="0063629A"/>
    <w:rsid w:val="00645054"/>
    <w:rsid w:val="006451EF"/>
    <w:rsid w:val="00646CFC"/>
    <w:rsid w:val="00653D36"/>
    <w:rsid w:val="00667327"/>
    <w:rsid w:val="006A1341"/>
    <w:rsid w:val="006B2602"/>
    <w:rsid w:val="006C22D1"/>
    <w:rsid w:val="00702058"/>
    <w:rsid w:val="00712AEC"/>
    <w:rsid w:val="00726F60"/>
    <w:rsid w:val="00742837"/>
    <w:rsid w:val="007445EB"/>
    <w:rsid w:val="00762513"/>
    <w:rsid w:val="00767B2A"/>
    <w:rsid w:val="00780405"/>
    <w:rsid w:val="0078617B"/>
    <w:rsid w:val="00786475"/>
    <w:rsid w:val="007901B6"/>
    <w:rsid w:val="007948E4"/>
    <w:rsid w:val="007B0C45"/>
    <w:rsid w:val="007C435E"/>
    <w:rsid w:val="007C5664"/>
    <w:rsid w:val="007D5CDC"/>
    <w:rsid w:val="007F0C0F"/>
    <w:rsid w:val="00804B54"/>
    <w:rsid w:val="00814183"/>
    <w:rsid w:val="00825FC3"/>
    <w:rsid w:val="00854720"/>
    <w:rsid w:val="0086104D"/>
    <w:rsid w:val="00877FC5"/>
    <w:rsid w:val="0088229F"/>
    <w:rsid w:val="00883B68"/>
    <w:rsid w:val="00894A82"/>
    <w:rsid w:val="00895911"/>
    <w:rsid w:val="008A542C"/>
    <w:rsid w:val="008B7B35"/>
    <w:rsid w:val="008C5DB1"/>
    <w:rsid w:val="008E26E4"/>
    <w:rsid w:val="008E5482"/>
    <w:rsid w:val="008E6772"/>
    <w:rsid w:val="008F796E"/>
    <w:rsid w:val="00900D24"/>
    <w:rsid w:val="00920C08"/>
    <w:rsid w:val="00943B76"/>
    <w:rsid w:val="00963A2D"/>
    <w:rsid w:val="009A3C83"/>
    <w:rsid w:val="009B2149"/>
    <w:rsid w:val="009C466A"/>
    <w:rsid w:val="009E57ED"/>
    <w:rsid w:val="00A07646"/>
    <w:rsid w:val="00A14A90"/>
    <w:rsid w:val="00A1566D"/>
    <w:rsid w:val="00A16A26"/>
    <w:rsid w:val="00A21EB6"/>
    <w:rsid w:val="00A228AA"/>
    <w:rsid w:val="00A2478C"/>
    <w:rsid w:val="00A503C0"/>
    <w:rsid w:val="00A66732"/>
    <w:rsid w:val="00A772DE"/>
    <w:rsid w:val="00A77E80"/>
    <w:rsid w:val="00A91C04"/>
    <w:rsid w:val="00A9388B"/>
    <w:rsid w:val="00AA2376"/>
    <w:rsid w:val="00AB12BE"/>
    <w:rsid w:val="00AC072E"/>
    <w:rsid w:val="00B21D79"/>
    <w:rsid w:val="00B405D7"/>
    <w:rsid w:val="00B41475"/>
    <w:rsid w:val="00B44902"/>
    <w:rsid w:val="00B55514"/>
    <w:rsid w:val="00B60E75"/>
    <w:rsid w:val="00B74FAC"/>
    <w:rsid w:val="00B92A2E"/>
    <w:rsid w:val="00BA1947"/>
    <w:rsid w:val="00BA7A4A"/>
    <w:rsid w:val="00BC77E0"/>
    <w:rsid w:val="00BF504D"/>
    <w:rsid w:val="00C104F2"/>
    <w:rsid w:val="00C20261"/>
    <w:rsid w:val="00C27DAA"/>
    <w:rsid w:val="00C418EC"/>
    <w:rsid w:val="00C6693D"/>
    <w:rsid w:val="00C723E7"/>
    <w:rsid w:val="00C97FFD"/>
    <w:rsid w:val="00CA12EC"/>
    <w:rsid w:val="00CA43AB"/>
    <w:rsid w:val="00CC3B52"/>
    <w:rsid w:val="00CE0966"/>
    <w:rsid w:val="00D14180"/>
    <w:rsid w:val="00D279D1"/>
    <w:rsid w:val="00D44575"/>
    <w:rsid w:val="00D65694"/>
    <w:rsid w:val="00D81A57"/>
    <w:rsid w:val="00D84094"/>
    <w:rsid w:val="00D946BC"/>
    <w:rsid w:val="00DA126F"/>
    <w:rsid w:val="00DA31CC"/>
    <w:rsid w:val="00DD4936"/>
    <w:rsid w:val="00DE13C5"/>
    <w:rsid w:val="00E13B74"/>
    <w:rsid w:val="00E27134"/>
    <w:rsid w:val="00E406D9"/>
    <w:rsid w:val="00E41A55"/>
    <w:rsid w:val="00E4232D"/>
    <w:rsid w:val="00E47D15"/>
    <w:rsid w:val="00E54AC0"/>
    <w:rsid w:val="00E64F2B"/>
    <w:rsid w:val="00E67BA7"/>
    <w:rsid w:val="00E80493"/>
    <w:rsid w:val="00EA560E"/>
    <w:rsid w:val="00ED09B9"/>
    <w:rsid w:val="00EF6952"/>
    <w:rsid w:val="00F00CEE"/>
    <w:rsid w:val="00F102BC"/>
    <w:rsid w:val="00F33553"/>
    <w:rsid w:val="00F41A65"/>
    <w:rsid w:val="00F41C91"/>
    <w:rsid w:val="00F85C1D"/>
    <w:rsid w:val="00FA3ABD"/>
    <w:rsid w:val="00FB3B64"/>
    <w:rsid w:val="00FB3BCD"/>
    <w:rsid w:val="00FB604B"/>
    <w:rsid w:val="00FB6F22"/>
    <w:rsid w:val="00FC30A1"/>
    <w:rsid w:val="00FE0EB8"/>
    <w:rsid w:val="00FE6999"/>
    <w:rsid w:val="032F4CA8"/>
    <w:rsid w:val="461D27AC"/>
  </w:rsids>
  <m:mathPr>
    <m:mathFont m:val="Cambria Math"/>
    <m:brkBin m:val="before"/>
    <m:brkBinSub m:val="--"/>
    <m:smallFrac m:val="0"/>
    <m:dispDef m:val="0"/>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0"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1"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5"/>
    <w:qFormat/>
    <w:uiPriority w:val="0"/>
    <w:pPr>
      <w:keepNext/>
      <w:keepLines/>
      <w:spacing w:before="340" w:after="330" w:line="576" w:lineRule="auto"/>
      <w:outlineLvl w:val="0"/>
    </w:pPr>
    <w:rPr>
      <w:b/>
      <w:kern w:val="44"/>
      <w:sz w:val="44"/>
    </w:rPr>
  </w:style>
  <w:style w:type="paragraph" w:styleId="3">
    <w:name w:val="heading 2"/>
    <w:basedOn w:val="1"/>
    <w:next w:val="1"/>
    <w:link w:val="16"/>
    <w:semiHidden/>
    <w:unhideWhenUsed/>
    <w:qFormat/>
    <w:uiPriority w:val="0"/>
    <w:pPr>
      <w:keepNext/>
      <w:keepLines/>
      <w:spacing w:before="260" w:after="260" w:line="408" w:lineRule="auto"/>
      <w:outlineLvl w:val="1"/>
    </w:pPr>
    <w:rPr>
      <w:rFonts w:ascii="Arial" w:hAnsi="Arial" w:eastAsia="黑体"/>
      <w:b/>
      <w:sz w:val="32"/>
    </w:rPr>
  </w:style>
  <w:style w:type="character" w:default="1" w:styleId="13">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4">
    <w:name w:val="annotation text"/>
    <w:basedOn w:val="1"/>
    <w:link w:val="17"/>
    <w:semiHidden/>
    <w:unhideWhenUsed/>
    <w:uiPriority w:val="0"/>
    <w:pPr>
      <w:jc w:val="left"/>
    </w:pPr>
    <w:rPr>
      <w:rFonts w:asciiTheme="minorHAnsi" w:hAnsiTheme="minorHAnsi" w:cstheme="minorBidi"/>
      <w:szCs w:val="22"/>
    </w:rPr>
  </w:style>
  <w:style w:type="paragraph" w:styleId="5">
    <w:name w:val="Body Text"/>
    <w:basedOn w:val="1"/>
    <w:link w:val="20"/>
    <w:semiHidden/>
    <w:unhideWhenUsed/>
    <w:qFormat/>
    <w:uiPriority w:val="1"/>
    <w:pPr>
      <w:spacing w:before="19"/>
      <w:ind w:left="479"/>
      <w:jc w:val="left"/>
    </w:pPr>
    <w:rPr>
      <w:rFonts w:ascii="宋体" w:hAnsi="宋体" w:cstheme="minorBidi"/>
      <w:kern w:val="0"/>
      <w:sz w:val="18"/>
      <w:szCs w:val="18"/>
      <w:lang w:eastAsia="en-US"/>
    </w:rPr>
  </w:style>
  <w:style w:type="paragraph" w:styleId="6">
    <w:name w:val="Date"/>
    <w:basedOn w:val="1"/>
    <w:next w:val="1"/>
    <w:link w:val="24"/>
    <w:semiHidden/>
    <w:unhideWhenUsed/>
    <w:uiPriority w:val="99"/>
    <w:pPr>
      <w:ind w:left="100" w:leftChars="2500"/>
    </w:pPr>
  </w:style>
  <w:style w:type="paragraph" w:styleId="7">
    <w:name w:val="Balloon Text"/>
    <w:basedOn w:val="1"/>
    <w:link w:val="22"/>
    <w:semiHidden/>
    <w:unhideWhenUsed/>
    <w:uiPriority w:val="99"/>
    <w:rPr>
      <w:sz w:val="18"/>
      <w:szCs w:val="18"/>
    </w:rPr>
  </w:style>
  <w:style w:type="paragraph" w:styleId="8">
    <w:name w:val="footer"/>
    <w:basedOn w:val="1"/>
    <w:link w:val="19"/>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header"/>
    <w:basedOn w:val="1"/>
    <w:link w:val="1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0">
    <w:name w:val="annotation subject"/>
    <w:basedOn w:val="4"/>
    <w:next w:val="4"/>
    <w:link w:val="21"/>
    <w:semiHidden/>
    <w:unhideWhenUsed/>
    <w:uiPriority w:val="99"/>
    <w:rPr>
      <w:rFonts w:ascii="Times New Roman" w:hAnsi="Times New Roman" w:cs="Times New Roman"/>
      <w:b/>
      <w:bCs/>
      <w:szCs w:val="20"/>
    </w:rPr>
  </w:style>
  <w:style w:type="table" w:styleId="12">
    <w:name w:val="Table Grid"/>
    <w:basedOn w:val="11"/>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4">
    <w:name w:val="annotation reference"/>
    <w:semiHidden/>
    <w:unhideWhenUsed/>
    <w:uiPriority w:val="0"/>
    <w:rPr>
      <w:sz w:val="21"/>
    </w:rPr>
  </w:style>
  <w:style w:type="character" w:customStyle="1" w:styleId="15">
    <w:name w:val="标题 1 Char"/>
    <w:basedOn w:val="13"/>
    <w:link w:val="2"/>
    <w:locked/>
    <w:uiPriority w:val="0"/>
    <w:rPr>
      <w:rFonts w:ascii="Times New Roman" w:hAnsi="Times New Roman" w:eastAsia="宋体" w:cs="Times New Roman"/>
      <w:b/>
      <w:kern w:val="44"/>
      <w:sz w:val="44"/>
      <w:szCs w:val="20"/>
    </w:rPr>
  </w:style>
  <w:style w:type="character" w:customStyle="1" w:styleId="16">
    <w:name w:val="标题 2 Char"/>
    <w:basedOn w:val="13"/>
    <w:link w:val="3"/>
    <w:semiHidden/>
    <w:locked/>
    <w:uiPriority w:val="0"/>
    <w:rPr>
      <w:rFonts w:ascii="Arial" w:hAnsi="Arial" w:eastAsia="黑体" w:cs="Times New Roman"/>
      <w:b/>
      <w:sz w:val="32"/>
      <w:szCs w:val="20"/>
    </w:rPr>
  </w:style>
  <w:style w:type="character" w:customStyle="1" w:styleId="17">
    <w:name w:val="批注文字 Char"/>
    <w:link w:val="4"/>
    <w:semiHidden/>
    <w:locked/>
    <w:uiPriority w:val="0"/>
    <w:rPr>
      <w:rFonts w:hint="eastAsia" w:ascii="宋体" w:hAnsi="宋体" w:eastAsia="宋体"/>
    </w:rPr>
  </w:style>
  <w:style w:type="character" w:customStyle="1" w:styleId="18">
    <w:name w:val="页眉 Char"/>
    <w:basedOn w:val="13"/>
    <w:link w:val="9"/>
    <w:locked/>
    <w:uiPriority w:val="99"/>
    <w:rPr>
      <w:sz w:val="18"/>
      <w:szCs w:val="18"/>
    </w:rPr>
  </w:style>
  <w:style w:type="character" w:customStyle="1" w:styleId="19">
    <w:name w:val="页脚 Char"/>
    <w:basedOn w:val="13"/>
    <w:link w:val="8"/>
    <w:qFormat/>
    <w:locked/>
    <w:uiPriority w:val="99"/>
    <w:rPr>
      <w:sz w:val="18"/>
      <w:szCs w:val="18"/>
    </w:rPr>
  </w:style>
  <w:style w:type="character" w:customStyle="1" w:styleId="20">
    <w:name w:val="正文文本 Char"/>
    <w:basedOn w:val="13"/>
    <w:link w:val="5"/>
    <w:semiHidden/>
    <w:locked/>
    <w:uiPriority w:val="1"/>
    <w:rPr>
      <w:rFonts w:hint="eastAsia" w:ascii="宋体" w:hAnsi="宋体" w:eastAsia="宋体"/>
      <w:sz w:val="18"/>
      <w:szCs w:val="18"/>
      <w:lang w:eastAsia="en-US"/>
    </w:rPr>
  </w:style>
  <w:style w:type="character" w:customStyle="1" w:styleId="21">
    <w:name w:val="批注主题 Char"/>
    <w:basedOn w:val="17"/>
    <w:link w:val="10"/>
    <w:semiHidden/>
    <w:locked/>
    <w:uiPriority w:val="99"/>
    <w:rPr>
      <w:rFonts w:hint="eastAsia" w:ascii="Times New Roman" w:hAnsi="Times New Roman" w:eastAsia="宋体" w:cs="Times New Roman"/>
      <w:b/>
      <w:bCs/>
      <w:kern w:val="2"/>
      <w:sz w:val="21"/>
    </w:rPr>
  </w:style>
  <w:style w:type="character" w:customStyle="1" w:styleId="22">
    <w:name w:val="批注框文本 Char"/>
    <w:basedOn w:val="13"/>
    <w:link w:val="7"/>
    <w:semiHidden/>
    <w:locked/>
    <w:uiPriority w:val="99"/>
    <w:rPr>
      <w:rFonts w:ascii="Times New Roman" w:hAnsi="Times New Roman" w:eastAsia="宋体" w:cs="Times New Roman"/>
      <w:sz w:val="18"/>
      <w:szCs w:val="18"/>
    </w:rPr>
  </w:style>
  <w:style w:type="character" w:customStyle="1" w:styleId="23">
    <w:name w:val="批注文字 Char1"/>
    <w:basedOn w:val="13"/>
    <w:semiHidden/>
    <w:uiPriority w:val="99"/>
    <w:rPr>
      <w:rFonts w:ascii="Times New Roman" w:hAnsi="Times New Roman" w:eastAsia="宋体" w:cs="Times New Roman"/>
      <w:szCs w:val="20"/>
    </w:rPr>
  </w:style>
  <w:style w:type="character" w:customStyle="1" w:styleId="24">
    <w:name w:val="日期 Char"/>
    <w:basedOn w:val="13"/>
    <w:link w:val="6"/>
    <w:semiHidden/>
    <w:uiPriority w:val="99"/>
    <w:rPr>
      <w:rFonts w:ascii="Times New Roman" w:hAnsi="Times New Roman" w:eastAsia="宋体" w:cs="Times New Roman"/>
      <w:kern w:val="2"/>
      <w:sz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24037;&#20316;&#31807;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[工作簿1]Sheet2!$B$1</c:f>
              <c:strCache>
                <c:ptCount val="1"/>
                <c:pt idx="0">
                  <c:v>净值增长率</c:v>
                </c:pt>
              </c:strCache>
            </c:strRef>
          </c:tx>
          <c:spPr>
            <a:ln w="28575" cap="rnd">
              <a:solidFill>
                <a:schemeClr val="accent1"/>
              </a:solidFill>
              <a:round/>
            </a:ln>
            <a:effectLst/>
          </c:spPr>
          <c:marker>
            <c:symbol val="none"/>
          </c:marker>
          <c:dLbls>
            <c:delete val="1"/>
          </c:dLbls>
          <c:cat>
            <c:numRef>
              <c:f>[工作簿1]Sheet2!$A$2:$A$95</c:f>
              <c:numCache>
                <c:formatCode>yyyy/m/d</c:formatCode>
                <c:ptCount val="94"/>
                <c:pt idx="0" c:formatCode="yyyy/m/d">
                  <c:v>44468</c:v>
                </c:pt>
                <c:pt idx="1" c:formatCode="yyyy/m/d">
                  <c:v>44469</c:v>
                </c:pt>
                <c:pt idx="2" c:formatCode="yyyy/m/d">
                  <c:v>44470</c:v>
                </c:pt>
                <c:pt idx="3" c:formatCode="yyyy/m/d">
                  <c:v>44471</c:v>
                </c:pt>
                <c:pt idx="4" c:formatCode="yyyy/m/d">
                  <c:v>44472</c:v>
                </c:pt>
                <c:pt idx="5" c:formatCode="yyyy/m/d">
                  <c:v>44473</c:v>
                </c:pt>
                <c:pt idx="6" c:formatCode="yyyy/m/d">
                  <c:v>44474</c:v>
                </c:pt>
                <c:pt idx="7" c:formatCode="yyyy/m/d">
                  <c:v>44475</c:v>
                </c:pt>
                <c:pt idx="8" c:formatCode="yyyy/m/d">
                  <c:v>44476</c:v>
                </c:pt>
                <c:pt idx="9" c:formatCode="yyyy/m/d">
                  <c:v>44477</c:v>
                </c:pt>
                <c:pt idx="10" c:formatCode="yyyy/m/d">
                  <c:v>44478</c:v>
                </c:pt>
                <c:pt idx="11" c:formatCode="yyyy/m/d">
                  <c:v>44479</c:v>
                </c:pt>
                <c:pt idx="12" c:formatCode="yyyy/m/d">
                  <c:v>44480</c:v>
                </c:pt>
                <c:pt idx="13" c:formatCode="yyyy/m/d">
                  <c:v>44481</c:v>
                </c:pt>
                <c:pt idx="14" c:formatCode="yyyy/m/d">
                  <c:v>44482</c:v>
                </c:pt>
                <c:pt idx="15" c:formatCode="yyyy/m/d">
                  <c:v>44483</c:v>
                </c:pt>
                <c:pt idx="16" c:formatCode="yyyy/m/d">
                  <c:v>44484</c:v>
                </c:pt>
                <c:pt idx="17" c:formatCode="yyyy/m/d">
                  <c:v>44485</c:v>
                </c:pt>
                <c:pt idx="18" c:formatCode="yyyy/m/d">
                  <c:v>44486</c:v>
                </c:pt>
                <c:pt idx="19" c:formatCode="yyyy/m/d">
                  <c:v>44487</c:v>
                </c:pt>
                <c:pt idx="20" c:formatCode="yyyy/m/d">
                  <c:v>44488</c:v>
                </c:pt>
                <c:pt idx="21" c:formatCode="yyyy/m/d">
                  <c:v>44489</c:v>
                </c:pt>
                <c:pt idx="22" c:formatCode="yyyy/m/d">
                  <c:v>44490</c:v>
                </c:pt>
                <c:pt idx="23" c:formatCode="yyyy/m/d">
                  <c:v>44491</c:v>
                </c:pt>
                <c:pt idx="24" c:formatCode="yyyy/m/d">
                  <c:v>44492</c:v>
                </c:pt>
                <c:pt idx="25" c:formatCode="yyyy/m/d">
                  <c:v>44493</c:v>
                </c:pt>
                <c:pt idx="26" c:formatCode="yyyy/m/d">
                  <c:v>44494</c:v>
                </c:pt>
                <c:pt idx="27" c:formatCode="yyyy/m/d">
                  <c:v>44495</c:v>
                </c:pt>
                <c:pt idx="28" c:formatCode="yyyy/m/d">
                  <c:v>44496</c:v>
                </c:pt>
                <c:pt idx="29" c:formatCode="yyyy/m/d">
                  <c:v>44497</c:v>
                </c:pt>
                <c:pt idx="30" c:formatCode="yyyy/m/d">
                  <c:v>44498</c:v>
                </c:pt>
                <c:pt idx="31" c:formatCode="yyyy/m/d">
                  <c:v>44499</c:v>
                </c:pt>
                <c:pt idx="32" c:formatCode="yyyy/m/d">
                  <c:v>44500</c:v>
                </c:pt>
                <c:pt idx="33" c:formatCode="yyyy/m/d">
                  <c:v>44501</c:v>
                </c:pt>
                <c:pt idx="34" c:formatCode="yyyy/m/d">
                  <c:v>44502</c:v>
                </c:pt>
                <c:pt idx="35" c:formatCode="yyyy/m/d">
                  <c:v>44503</c:v>
                </c:pt>
                <c:pt idx="36" c:formatCode="yyyy/m/d">
                  <c:v>44504</c:v>
                </c:pt>
                <c:pt idx="37" c:formatCode="yyyy/m/d">
                  <c:v>44505</c:v>
                </c:pt>
                <c:pt idx="38" c:formatCode="yyyy/m/d">
                  <c:v>44506</c:v>
                </c:pt>
                <c:pt idx="39" c:formatCode="yyyy/m/d">
                  <c:v>44507</c:v>
                </c:pt>
                <c:pt idx="40" c:formatCode="yyyy/m/d">
                  <c:v>44508</c:v>
                </c:pt>
                <c:pt idx="41" c:formatCode="yyyy/m/d">
                  <c:v>44509</c:v>
                </c:pt>
                <c:pt idx="42" c:formatCode="yyyy/m/d">
                  <c:v>44510</c:v>
                </c:pt>
                <c:pt idx="43" c:formatCode="yyyy/m/d">
                  <c:v>44511</c:v>
                </c:pt>
                <c:pt idx="44" c:formatCode="yyyy/m/d">
                  <c:v>44512</c:v>
                </c:pt>
                <c:pt idx="45" c:formatCode="yyyy/m/d">
                  <c:v>44513</c:v>
                </c:pt>
                <c:pt idx="46" c:formatCode="yyyy/m/d">
                  <c:v>44514</c:v>
                </c:pt>
                <c:pt idx="47" c:formatCode="yyyy/m/d">
                  <c:v>44515</c:v>
                </c:pt>
                <c:pt idx="48" c:formatCode="yyyy/m/d">
                  <c:v>44516</c:v>
                </c:pt>
                <c:pt idx="49" c:formatCode="yyyy/m/d">
                  <c:v>44517</c:v>
                </c:pt>
                <c:pt idx="50" c:formatCode="yyyy/m/d">
                  <c:v>44518</c:v>
                </c:pt>
                <c:pt idx="51" c:formatCode="yyyy/m/d">
                  <c:v>44519</c:v>
                </c:pt>
                <c:pt idx="52" c:formatCode="yyyy/m/d">
                  <c:v>44520</c:v>
                </c:pt>
                <c:pt idx="53" c:formatCode="yyyy/m/d">
                  <c:v>44521</c:v>
                </c:pt>
                <c:pt idx="54" c:formatCode="yyyy/m/d">
                  <c:v>44522</c:v>
                </c:pt>
                <c:pt idx="55" c:formatCode="yyyy/m/d">
                  <c:v>44523</c:v>
                </c:pt>
                <c:pt idx="56" c:formatCode="yyyy/m/d">
                  <c:v>44524</c:v>
                </c:pt>
                <c:pt idx="57" c:formatCode="yyyy/m/d">
                  <c:v>44525</c:v>
                </c:pt>
                <c:pt idx="58" c:formatCode="yyyy/m/d">
                  <c:v>44526</c:v>
                </c:pt>
                <c:pt idx="59" c:formatCode="yyyy/m/d">
                  <c:v>44527</c:v>
                </c:pt>
                <c:pt idx="60" c:formatCode="yyyy/m/d">
                  <c:v>44528</c:v>
                </c:pt>
                <c:pt idx="61" c:formatCode="yyyy/m/d">
                  <c:v>44529</c:v>
                </c:pt>
                <c:pt idx="62" c:formatCode="yyyy/m/d">
                  <c:v>44530</c:v>
                </c:pt>
                <c:pt idx="63" c:formatCode="yyyy/m/d">
                  <c:v>44531</c:v>
                </c:pt>
                <c:pt idx="64" c:formatCode="yyyy/m/d">
                  <c:v>44532</c:v>
                </c:pt>
                <c:pt idx="65" c:formatCode="yyyy/m/d">
                  <c:v>44533</c:v>
                </c:pt>
                <c:pt idx="66" c:formatCode="yyyy/m/d">
                  <c:v>44534</c:v>
                </c:pt>
                <c:pt idx="67" c:formatCode="yyyy/m/d">
                  <c:v>44535</c:v>
                </c:pt>
                <c:pt idx="68" c:formatCode="yyyy/m/d">
                  <c:v>44536</c:v>
                </c:pt>
                <c:pt idx="69" c:formatCode="yyyy/m/d">
                  <c:v>44537</c:v>
                </c:pt>
                <c:pt idx="70" c:formatCode="yyyy/m/d">
                  <c:v>44538</c:v>
                </c:pt>
                <c:pt idx="71" c:formatCode="yyyy/m/d">
                  <c:v>44539</c:v>
                </c:pt>
                <c:pt idx="72" c:formatCode="yyyy/m/d">
                  <c:v>44540</c:v>
                </c:pt>
                <c:pt idx="73" c:formatCode="yyyy/m/d">
                  <c:v>44541</c:v>
                </c:pt>
                <c:pt idx="74" c:formatCode="yyyy/m/d">
                  <c:v>44542</c:v>
                </c:pt>
                <c:pt idx="75" c:formatCode="yyyy/m/d">
                  <c:v>44543</c:v>
                </c:pt>
                <c:pt idx="76" c:formatCode="yyyy/m/d">
                  <c:v>44544</c:v>
                </c:pt>
                <c:pt idx="77" c:formatCode="yyyy/m/d">
                  <c:v>44545</c:v>
                </c:pt>
                <c:pt idx="78" c:formatCode="yyyy/m/d">
                  <c:v>44546</c:v>
                </c:pt>
                <c:pt idx="79" c:formatCode="yyyy/m/d">
                  <c:v>44547</c:v>
                </c:pt>
                <c:pt idx="80" c:formatCode="yyyy/m/d">
                  <c:v>44548</c:v>
                </c:pt>
                <c:pt idx="81" c:formatCode="yyyy/m/d">
                  <c:v>44549</c:v>
                </c:pt>
                <c:pt idx="82" c:formatCode="yyyy/m/d">
                  <c:v>44550</c:v>
                </c:pt>
                <c:pt idx="83" c:formatCode="yyyy/m/d">
                  <c:v>44551</c:v>
                </c:pt>
                <c:pt idx="84" c:formatCode="yyyy/m/d">
                  <c:v>44552</c:v>
                </c:pt>
                <c:pt idx="85" c:formatCode="yyyy/m/d">
                  <c:v>44553</c:v>
                </c:pt>
                <c:pt idx="86" c:formatCode="yyyy/m/d">
                  <c:v>44554</c:v>
                </c:pt>
                <c:pt idx="87" c:formatCode="yyyy/m/d">
                  <c:v>44555</c:v>
                </c:pt>
                <c:pt idx="88" c:formatCode="yyyy/m/d">
                  <c:v>44556</c:v>
                </c:pt>
                <c:pt idx="89" c:formatCode="yyyy/m/d">
                  <c:v>44557</c:v>
                </c:pt>
                <c:pt idx="90" c:formatCode="yyyy/m/d">
                  <c:v>44558</c:v>
                </c:pt>
                <c:pt idx="91" c:formatCode="yyyy/m/d">
                  <c:v>44559</c:v>
                </c:pt>
                <c:pt idx="92" c:formatCode="yyyy/m/d">
                  <c:v>44560</c:v>
                </c:pt>
                <c:pt idx="93" c:formatCode="yyyy/m/d">
                  <c:v>44561</c:v>
                </c:pt>
              </c:numCache>
            </c:numRef>
          </c:cat>
          <c:val>
            <c:numRef>
              <c:f>[工作簿1]Sheet2!$B$2:$B$95</c:f>
              <c:numCache>
                <c:formatCode>General</c:formatCode>
                <c:ptCount val="94"/>
                <c:pt idx="0">
                  <c:v>-0.00139999999999996</c:v>
                </c:pt>
                <c:pt idx="1">
                  <c:v>-0.000900000000000012</c:v>
                </c:pt>
                <c:pt idx="2">
                  <c:v>-0.001</c:v>
                </c:pt>
                <c:pt idx="3">
                  <c:v>-0.001</c:v>
                </c:pt>
                <c:pt idx="4">
                  <c:v>-0.001</c:v>
                </c:pt>
                <c:pt idx="5">
                  <c:v>-0.001</c:v>
                </c:pt>
                <c:pt idx="6">
                  <c:v>-0.001</c:v>
                </c:pt>
                <c:pt idx="7">
                  <c:v>-0.001</c:v>
                </c:pt>
                <c:pt idx="8">
                  <c:v>-0.00109999999999999</c:v>
                </c:pt>
                <c:pt idx="9">
                  <c:v>0.00130000000000008</c:v>
                </c:pt>
                <c:pt idx="10">
                  <c:v>0.00130000000000008</c:v>
                </c:pt>
                <c:pt idx="11">
                  <c:v>0.00130000000000008</c:v>
                </c:pt>
                <c:pt idx="12">
                  <c:v>0.00180000000000002</c:v>
                </c:pt>
                <c:pt idx="13">
                  <c:v>0.00170000000000003</c:v>
                </c:pt>
                <c:pt idx="14">
                  <c:v>0.00180000000000002</c:v>
                </c:pt>
                <c:pt idx="15">
                  <c:v>0.00170000000000003</c:v>
                </c:pt>
                <c:pt idx="16">
                  <c:v>0.002</c:v>
                </c:pt>
                <c:pt idx="17">
                  <c:v>0.002</c:v>
                </c:pt>
                <c:pt idx="18">
                  <c:v>0.002</c:v>
                </c:pt>
                <c:pt idx="19">
                  <c:v>0.00269999999999992</c:v>
                </c:pt>
                <c:pt idx="20">
                  <c:v>0.00299999999999989</c:v>
                </c:pt>
                <c:pt idx="21">
                  <c:v>0.00330000000000008</c:v>
                </c:pt>
                <c:pt idx="22">
                  <c:v>0.00360000000000005</c:v>
                </c:pt>
                <c:pt idx="23">
                  <c:v>0.004</c:v>
                </c:pt>
                <c:pt idx="24">
                  <c:v>0.004</c:v>
                </c:pt>
                <c:pt idx="25">
                  <c:v>0.004</c:v>
                </c:pt>
                <c:pt idx="26">
                  <c:v>0.00499999999999989</c:v>
                </c:pt>
                <c:pt idx="27">
                  <c:v>0.00540000000000007</c:v>
                </c:pt>
                <c:pt idx="28">
                  <c:v>0.00570000000000004</c:v>
                </c:pt>
                <c:pt idx="29">
                  <c:v>0.00590000000000002</c:v>
                </c:pt>
                <c:pt idx="30">
                  <c:v>0.00629999999999997</c:v>
                </c:pt>
                <c:pt idx="31">
                  <c:v>0.00629999999999997</c:v>
                </c:pt>
                <c:pt idx="32">
                  <c:v>0.00629999999999997</c:v>
                </c:pt>
                <c:pt idx="33">
                  <c:v>0.00710000000000011</c:v>
                </c:pt>
                <c:pt idx="34">
                  <c:v>0.00740000000000007</c:v>
                </c:pt>
                <c:pt idx="35">
                  <c:v>0.00770000000000004</c:v>
                </c:pt>
                <c:pt idx="36">
                  <c:v>0.00800000000000001</c:v>
                </c:pt>
                <c:pt idx="37">
                  <c:v>0.00829999999999997</c:v>
                </c:pt>
                <c:pt idx="38">
                  <c:v>0.00829999999999997</c:v>
                </c:pt>
                <c:pt idx="39">
                  <c:v>0.00829999999999997</c:v>
                </c:pt>
                <c:pt idx="40">
                  <c:v>0.0092000000000001</c:v>
                </c:pt>
                <c:pt idx="41">
                  <c:v>0.00940000000000007</c:v>
                </c:pt>
                <c:pt idx="42">
                  <c:v>0.00960000000000005</c:v>
                </c:pt>
                <c:pt idx="43">
                  <c:v>0.00970000000000004</c:v>
                </c:pt>
                <c:pt idx="44">
                  <c:v>0.00990000000000002</c:v>
                </c:pt>
                <c:pt idx="45">
                  <c:v>0.00980000000000003</c:v>
                </c:pt>
                <c:pt idx="46">
                  <c:v>0.00980000000000003</c:v>
                </c:pt>
                <c:pt idx="47">
                  <c:v>0.0105999999999999</c:v>
                </c:pt>
                <c:pt idx="48">
                  <c:v>0.0092000000000001</c:v>
                </c:pt>
                <c:pt idx="49">
                  <c:v>0.00439999999999996</c:v>
                </c:pt>
                <c:pt idx="50">
                  <c:v>0.00469999999999993</c:v>
                </c:pt>
                <c:pt idx="51">
                  <c:v>0.00499999999999989</c:v>
                </c:pt>
                <c:pt idx="52">
                  <c:v>0.0048999999999999</c:v>
                </c:pt>
                <c:pt idx="53">
                  <c:v>0.0048999999999999</c:v>
                </c:pt>
                <c:pt idx="54">
                  <c:v>0.00570000000000004</c:v>
                </c:pt>
                <c:pt idx="55">
                  <c:v>0.00600000000000001</c:v>
                </c:pt>
                <c:pt idx="56">
                  <c:v>0.00619999999999998</c:v>
                </c:pt>
                <c:pt idx="57">
                  <c:v>0.00689999999999991</c:v>
                </c:pt>
                <c:pt idx="58">
                  <c:v>0.0072000000000001</c:v>
                </c:pt>
                <c:pt idx="59">
                  <c:v>0.0072000000000001</c:v>
                </c:pt>
                <c:pt idx="60">
                  <c:v>0.0072000000000001</c:v>
                </c:pt>
                <c:pt idx="61">
                  <c:v>0.00780000000000003</c:v>
                </c:pt>
                <c:pt idx="62">
                  <c:v>0.00800000000000001</c:v>
                </c:pt>
                <c:pt idx="63">
                  <c:v>0.0081</c:v>
                </c:pt>
                <c:pt idx="64">
                  <c:v>0.00819999999999999</c:v>
                </c:pt>
                <c:pt idx="65">
                  <c:v>0.00800000000000001</c:v>
                </c:pt>
                <c:pt idx="66">
                  <c:v>0.00800000000000001</c:v>
                </c:pt>
                <c:pt idx="67">
                  <c:v>0.00790000000000002</c:v>
                </c:pt>
                <c:pt idx="68">
                  <c:v>0.0089999999999999</c:v>
                </c:pt>
                <c:pt idx="69">
                  <c:v>0.00930000000000009</c:v>
                </c:pt>
                <c:pt idx="70">
                  <c:v>0.00970000000000004</c:v>
                </c:pt>
                <c:pt idx="71">
                  <c:v>0.01</c:v>
                </c:pt>
                <c:pt idx="72">
                  <c:v>0.01</c:v>
                </c:pt>
                <c:pt idx="73">
                  <c:v>0.01</c:v>
                </c:pt>
                <c:pt idx="74">
                  <c:v>0.01</c:v>
                </c:pt>
                <c:pt idx="75">
                  <c:v>0.0107999999999999</c:v>
                </c:pt>
                <c:pt idx="76">
                  <c:v>0.0109999999999999</c:v>
                </c:pt>
                <c:pt idx="77">
                  <c:v>0.0113000000000001</c:v>
                </c:pt>
                <c:pt idx="78">
                  <c:v>0.0111000000000001</c:v>
                </c:pt>
                <c:pt idx="79">
                  <c:v>0.0112000000000001</c:v>
                </c:pt>
                <c:pt idx="80">
                  <c:v>0.0112000000000001</c:v>
                </c:pt>
                <c:pt idx="81">
                  <c:v>0.0112000000000001</c:v>
                </c:pt>
                <c:pt idx="82">
                  <c:v>0.0121</c:v>
                </c:pt>
                <c:pt idx="83">
                  <c:v>0.0123</c:v>
                </c:pt>
                <c:pt idx="84">
                  <c:v>0.0125999999999999</c:v>
                </c:pt>
                <c:pt idx="85">
                  <c:v>0.0136000000000001</c:v>
                </c:pt>
                <c:pt idx="86">
                  <c:v>0.0139</c:v>
                </c:pt>
                <c:pt idx="87">
                  <c:v>0.0139</c:v>
                </c:pt>
                <c:pt idx="88">
                  <c:v>0.0139</c:v>
                </c:pt>
                <c:pt idx="89">
                  <c:v>0.0145999999999999</c:v>
                </c:pt>
                <c:pt idx="90">
                  <c:v>0.0148999999999999</c:v>
                </c:pt>
                <c:pt idx="91">
                  <c:v>0.0164</c:v>
                </c:pt>
                <c:pt idx="92">
                  <c:v>0.0167999999999999</c:v>
                </c:pt>
                <c:pt idx="93">
                  <c:v>0.0170999999999999</c:v>
                </c:pt>
              </c:numCache>
            </c:numRef>
          </c:val>
          <c:smooth val="0"/>
        </c:ser>
        <c:ser>
          <c:idx val="1"/>
          <c:order val="1"/>
          <c:tx>
            <c:strRef>
              <c:f>[工作簿1]Sheet2!$C$1</c:f>
              <c:strCache>
                <c:ptCount val="1"/>
                <c:pt idx="0">
                  <c:v>业绩比较基准增长率（低）</c:v>
                </c:pt>
              </c:strCache>
            </c:strRef>
          </c:tx>
          <c:spPr>
            <a:ln w="28575" cap="rnd">
              <a:solidFill>
                <a:schemeClr val="accent2"/>
              </a:solidFill>
              <a:round/>
            </a:ln>
            <a:effectLst/>
          </c:spPr>
          <c:marker>
            <c:symbol val="none"/>
          </c:marker>
          <c:dLbls>
            <c:delete val="1"/>
          </c:dLbls>
          <c:cat>
            <c:numRef>
              <c:f>[工作簿1]Sheet2!$A$2:$A$95</c:f>
              <c:numCache>
                <c:formatCode>yyyy/m/d</c:formatCode>
                <c:ptCount val="94"/>
                <c:pt idx="0" c:formatCode="yyyy/m/d">
                  <c:v>44468</c:v>
                </c:pt>
                <c:pt idx="1" c:formatCode="yyyy/m/d">
                  <c:v>44469</c:v>
                </c:pt>
                <c:pt idx="2" c:formatCode="yyyy/m/d">
                  <c:v>44470</c:v>
                </c:pt>
                <c:pt idx="3" c:formatCode="yyyy/m/d">
                  <c:v>44471</c:v>
                </c:pt>
                <c:pt idx="4" c:formatCode="yyyy/m/d">
                  <c:v>44472</c:v>
                </c:pt>
                <c:pt idx="5" c:formatCode="yyyy/m/d">
                  <c:v>44473</c:v>
                </c:pt>
                <c:pt idx="6" c:formatCode="yyyy/m/d">
                  <c:v>44474</c:v>
                </c:pt>
                <c:pt idx="7" c:formatCode="yyyy/m/d">
                  <c:v>44475</c:v>
                </c:pt>
                <c:pt idx="8" c:formatCode="yyyy/m/d">
                  <c:v>44476</c:v>
                </c:pt>
                <c:pt idx="9" c:formatCode="yyyy/m/d">
                  <c:v>44477</c:v>
                </c:pt>
                <c:pt idx="10" c:formatCode="yyyy/m/d">
                  <c:v>44478</c:v>
                </c:pt>
                <c:pt idx="11" c:formatCode="yyyy/m/d">
                  <c:v>44479</c:v>
                </c:pt>
                <c:pt idx="12" c:formatCode="yyyy/m/d">
                  <c:v>44480</c:v>
                </c:pt>
                <c:pt idx="13" c:formatCode="yyyy/m/d">
                  <c:v>44481</c:v>
                </c:pt>
                <c:pt idx="14" c:formatCode="yyyy/m/d">
                  <c:v>44482</c:v>
                </c:pt>
                <c:pt idx="15" c:formatCode="yyyy/m/d">
                  <c:v>44483</c:v>
                </c:pt>
                <c:pt idx="16" c:formatCode="yyyy/m/d">
                  <c:v>44484</c:v>
                </c:pt>
                <c:pt idx="17" c:formatCode="yyyy/m/d">
                  <c:v>44485</c:v>
                </c:pt>
                <c:pt idx="18" c:formatCode="yyyy/m/d">
                  <c:v>44486</c:v>
                </c:pt>
                <c:pt idx="19" c:formatCode="yyyy/m/d">
                  <c:v>44487</c:v>
                </c:pt>
                <c:pt idx="20" c:formatCode="yyyy/m/d">
                  <c:v>44488</c:v>
                </c:pt>
                <c:pt idx="21" c:formatCode="yyyy/m/d">
                  <c:v>44489</c:v>
                </c:pt>
                <c:pt idx="22" c:formatCode="yyyy/m/d">
                  <c:v>44490</c:v>
                </c:pt>
                <c:pt idx="23" c:formatCode="yyyy/m/d">
                  <c:v>44491</c:v>
                </c:pt>
                <c:pt idx="24" c:formatCode="yyyy/m/d">
                  <c:v>44492</c:v>
                </c:pt>
                <c:pt idx="25" c:formatCode="yyyy/m/d">
                  <c:v>44493</c:v>
                </c:pt>
                <c:pt idx="26" c:formatCode="yyyy/m/d">
                  <c:v>44494</c:v>
                </c:pt>
                <c:pt idx="27" c:formatCode="yyyy/m/d">
                  <c:v>44495</c:v>
                </c:pt>
                <c:pt idx="28" c:formatCode="yyyy/m/d">
                  <c:v>44496</c:v>
                </c:pt>
                <c:pt idx="29" c:formatCode="yyyy/m/d">
                  <c:v>44497</c:v>
                </c:pt>
                <c:pt idx="30" c:formatCode="yyyy/m/d">
                  <c:v>44498</c:v>
                </c:pt>
                <c:pt idx="31" c:formatCode="yyyy/m/d">
                  <c:v>44499</c:v>
                </c:pt>
                <c:pt idx="32" c:formatCode="yyyy/m/d">
                  <c:v>44500</c:v>
                </c:pt>
                <c:pt idx="33" c:formatCode="yyyy/m/d">
                  <c:v>44501</c:v>
                </c:pt>
                <c:pt idx="34" c:formatCode="yyyy/m/d">
                  <c:v>44502</c:v>
                </c:pt>
                <c:pt idx="35" c:formatCode="yyyy/m/d">
                  <c:v>44503</c:v>
                </c:pt>
                <c:pt idx="36" c:formatCode="yyyy/m/d">
                  <c:v>44504</c:v>
                </c:pt>
                <c:pt idx="37" c:formatCode="yyyy/m/d">
                  <c:v>44505</c:v>
                </c:pt>
                <c:pt idx="38" c:formatCode="yyyy/m/d">
                  <c:v>44506</c:v>
                </c:pt>
                <c:pt idx="39" c:formatCode="yyyy/m/d">
                  <c:v>44507</c:v>
                </c:pt>
                <c:pt idx="40" c:formatCode="yyyy/m/d">
                  <c:v>44508</c:v>
                </c:pt>
                <c:pt idx="41" c:formatCode="yyyy/m/d">
                  <c:v>44509</c:v>
                </c:pt>
                <c:pt idx="42" c:formatCode="yyyy/m/d">
                  <c:v>44510</c:v>
                </c:pt>
                <c:pt idx="43" c:formatCode="yyyy/m/d">
                  <c:v>44511</c:v>
                </c:pt>
                <c:pt idx="44" c:formatCode="yyyy/m/d">
                  <c:v>44512</c:v>
                </c:pt>
                <c:pt idx="45" c:formatCode="yyyy/m/d">
                  <c:v>44513</c:v>
                </c:pt>
                <c:pt idx="46" c:formatCode="yyyy/m/d">
                  <c:v>44514</c:v>
                </c:pt>
                <c:pt idx="47" c:formatCode="yyyy/m/d">
                  <c:v>44515</c:v>
                </c:pt>
                <c:pt idx="48" c:formatCode="yyyy/m/d">
                  <c:v>44516</c:v>
                </c:pt>
                <c:pt idx="49" c:formatCode="yyyy/m/d">
                  <c:v>44517</c:v>
                </c:pt>
                <c:pt idx="50" c:formatCode="yyyy/m/d">
                  <c:v>44518</c:v>
                </c:pt>
                <c:pt idx="51" c:formatCode="yyyy/m/d">
                  <c:v>44519</c:v>
                </c:pt>
                <c:pt idx="52" c:formatCode="yyyy/m/d">
                  <c:v>44520</c:v>
                </c:pt>
                <c:pt idx="53" c:formatCode="yyyy/m/d">
                  <c:v>44521</c:v>
                </c:pt>
                <c:pt idx="54" c:formatCode="yyyy/m/d">
                  <c:v>44522</c:v>
                </c:pt>
                <c:pt idx="55" c:formatCode="yyyy/m/d">
                  <c:v>44523</c:v>
                </c:pt>
                <c:pt idx="56" c:formatCode="yyyy/m/d">
                  <c:v>44524</c:v>
                </c:pt>
                <c:pt idx="57" c:formatCode="yyyy/m/d">
                  <c:v>44525</c:v>
                </c:pt>
                <c:pt idx="58" c:formatCode="yyyy/m/d">
                  <c:v>44526</c:v>
                </c:pt>
                <c:pt idx="59" c:formatCode="yyyy/m/d">
                  <c:v>44527</c:v>
                </c:pt>
                <c:pt idx="60" c:formatCode="yyyy/m/d">
                  <c:v>44528</c:v>
                </c:pt>
                <c:pt idx="61" c:formatCode="yyyy/m/d">
                  <c:v>44529</c:v>
                </c:pt>
                <c:pt idx="62" c:formatCode="yyyy/m/d">
                  <c:v>44530</c:v>
                </c:pt>
                <c:pt idx="63" c:formatCode="yyyy/m/d">
                  <c:v>44531</c:v>
                </c:pt>
                <c:pt idx="64" c:formatCode="yyyy/m/d">
                  <c:v>44532</c:v>
                </c:pt>
                <c:pt idx="65" c:formatCode="yyyy/m/d">
                  <c:v>44533</c:v>
                </c:pt>
                <c:pt idx="66" c:formatCode="yyyy/m/d">
                  <c:v>44534</c:v>
                </c:pt>
                <c:pt idx="67" c:formatCode="yyyy/m/d">
                  <c:v>44535</c:v>
                </c:pt>
                <c:pt idx="68" c:formatCode="yyyy/m/d">
                  <c:v>44536</c:v>
                </c:pt>
                <c:pt idx="69" c:formatCode="yyyy/m/d">
                  <c:v>44537</c:v>
                </c:pt>
                <c:pt idx="70" c:formatCode="yyyy/m/d">
                  <c:v>44538</c:v>
                </c:pt>
                <c:pt idx="71" c:formatCode="yyyy/m/d">
                  <c:v>44539</c:v>
                </c:pt>
                <c:pt idx="72" c:formatCode="yyyy/m/d">
                  <c:v>44540</c:v>
                </c:pt>
                <c:pt idx="73" c:formatCode="yyyy/m/d">
                  <c:v>44541</c:v>
                </c:pt>
                <c:pt idx="74" c:formatCode="yyyy/m/d">
                  <c:v>44542</c:v>
                </c:pt>
                <c:pt idx="75" c:formatCode="yyyy/m/d">
                  <c:v>44543</c:v>
                </c:pt>
                <c:pt idx="76" c:formatCode="yyyy/m/d">
                  <c:v>44544</c:v>
                </c:pt>
                <c:pt idx="77" c:formatCode="yyyy/m/d">
                  <c:v>44545</c:v>
                </c:pt>
                <c:pt idx="78" c:formatCode="yyyy/m/d">
                  <c:v>44546</c:v>
                </c:pt>
                <c:pt idx="79" c:formatCode="yyyy/m/d">
                  <c:v>44547</c:v>
                </c:pt>
                <c:pt idx="80" c:formatCode="yyyy/m/d">
                  <c:v>44548</c:v>
                </c:pt>
                <c:pt idx="81" c:formatCode="yyyy/m/d">
                  <c:v>44549</c:v>
                </c:pt>
                <c:pt idx="82" c:formatCode="yyyy/m/d">
                  <c:v>44550</c:v>
                </c:pt>
                <c:pt idx="83" c:formatCode="yyyy/m/d">
                  <c:v>44551</c:v>
                </c:pt>
                <c:pt idx="84" c:formatCode="yyyy/m/d">
                  <c:v>44552</c:v>
                </c:pt>
                <c:pt idx="85" c:formatCode="yyyy/m/d">
                  <c:v>44553</c:v>
                </c:pt>
                <c:pt idx="86" c:formatCode="yyyy/m/d">
                  <c:v>44554</c:v>
                </c:pt>
                <c:pt idx="87" c:formatCode="yyyy/m/d">
                  <c:v>44555</c:v>
                </c:pt>
                <c:pt idx="88" c:formatCode="yyyy/m/d">
                  <c:v>44556</c:v>
                </c:pt>
                <c:pt idx="89" c:formatCode="yyyy/m/d">
                  <c:v>44557</c:v>
                </c:pt>
                <c:pt idx="90" c:formatCode="yyyy/m/d">
                  <c:v>44558</c:v>
                </c:pt>
                <c:pt idx="91" c:formatCode="yyyy/m/d">
                  <c:v>44559</c:v>
                </c:pt>
                <c:pt idx="92" c:formatCode="yyyy/m/d">
                  <c:v>44560</c:v>
                </c:pt>
                <c:pt idx="93" c:formatCode="yyyy/m/d">
                  <c:v>44561</c:v>
                </c:pt>
              </c:numCache>
            </c:numRef>
          </c:cat>
          <c:val>
            <c:numRef>
              <c:f>[工作簿1]Sheet2!$C$2:$C$95</c:f>
              <c:numCache>
                <c:formatCode>General</c:formatCode>
                <c:ptCount val="94"/>
                <c:pt idx="0">
                  <c:v>0.000128767123287671</c:v>
                </c:pt>
                <c:pt idx="1">
                  <c:v>0.000257534246575342</c:v>
                </c:pt>
                <c:pt idx="2">
                  <c:v>0.000386301369863014</c:v>
                </c:pt>
                <c:pt idx="3">
                  <c:v>0.000515068493150685</c:v>
                </c:pt>
                <c:pt idx="4">
                  <c:v>0.000643835616438356</c:v>
                </c:pt>
                <c:pt idx="5">
                  <c:v>0.000772602739726027</c:v>
                </c:pt>
                <c:pt idx="6">
                  <c:v>0.000901369863013699</c:v>
                </c:pt>
                <c:pt idx="7">
                  <c:v>0.00103013698630137</c:v>
                </c:pt>
                <c:pt idx="8">
                  <c:v>0.00115890410958904</c:v>
                </c:pt>
                <c:pt idx="9">
                  <c:v>0.00128767123287671</c:v>
                </c:pt>
                <c:pt idx="10">
                  <c:v>0.00141643835616438</c:v>
                </c:pt>
                <c:pt idx="11">
                  <c:v>0.00154520547945205</c:v>
                </c:pt>
                <c:pt idx="12">
                  <c:v>0.00167397260273973</c:v>
                </c:pt>
                <c:pt idx="13">
                  <c:v>0.0018027397260274</c:v>
                </c:pt>
                <c:pt idx="14">
                  <c:v>0.00193150684931507</c:v>
                </c:pt>
                <c:pt idx="15">
                  <c:v>0.00206027397260274</c:v>
                </c:pt>
                <c:pt idx="16">
                  <c:v>0.00218904109589041</c:v>
                </c:pt>
                <c:pt idx="17">
                  <c:v>0.00231780821917808</c:v>
                </c:pt>
                <c:pt idx="18">
                  <c:v>0.00244657534246575</c:v>
                </c:pt>
                <c:pt idx="19">
                  <c:v>0.00257534246575342</c:v>
                </c:pt>
                <c:pt idx="20">
                  <c:v>0.0027041095890411</c:v>
                </c:pt>
                <c:pt idx="21">
                  <c:v>0.00283287671232877</c:v>
                </c:pt>
                <c:pt idx="22">
                  <c:v>0.00296164383561644</c:v>
                </c:pt>
                <c:pt idx="23">
                  <c:v>0.00309041095890411</c:v>
                </c:pt>
                <c:pt idx="24">
                  <c:v>0.00321917808219178</c:v>
                </c:pt>
                <c:pt idx="25">
                  <c:v>0.00334794520547945</c:v>
                </c:pt>
                <c:pt idx="26">
                  <c:v>0.00347671232876712</c:v>
                </c:pt>
                <c:pt idx="27">
                  <c:v>0.00360547945205479</c:v>
                </c:pt>
                <c:pt idx="28">
                  <c:v>0.00373424657534247</c:v>
                </c:pt>
                <c:pt idx="29">
                  <c:v>0.00386301369863014</c:v>
                </c:pt>
                <c:pt idx="30">
                  <c:v>0.00399178082191781</c:v>
                </c:pt>
                <c:pt idx="31">
                  <c:v>0.00412054794520548</c:v>
                </c:pt>
                <c:pt idx="32">
                  <c:v>0.00424931506849315</c:v>
                </c:pt>
                <c:pt idx="33">
                  <c:v>0.00437808219178082</c:v>
                </c:pt>
                <c:pt idx="34">
                  <c:v>0.00450684931506849</c:v>
                </c:pt>
                <c:pt idx="35">
                  <c:v>0.00463561643835616</c:v>
                </c:pt>
                <c:pt idx="36">
                  <c:v>0.00476438356164384</c:v>
                </c:pt>
                <c:pt idx="37">
                  <c:v>0.00489315068493151</c:v>
                </c:pt>
                <c:pt idx="38">
                  <c:v>0.00502191780821918</c:v>
                </c:pt>
                <c:pt idx="39">
                  <c:v>0.00515068493150685</c:v>
                </c:pt>
                <c:pt idx="40">
                  <c:v>0.00527945205479452</c:v>
                </c:pt>
                <c:pt idx="41">
                  <c:v>0.00540821917808219</c:v>
                </c:pt>
                <c:pt idx="42">
                  <c:v>0.00553698630136986</c:v>
                </c:pt>
                <c:pt idx="43">
                  <c:v>0.00566575342465753</c:v>
                </c:pt>
                <c:pt idx="44">
                  <c:v>0.00579452054794521</c:v>
                </c:pt>
                <c:pt idx="45">
                  <c:v>0.00592328767123288</c:v>
                </c:pt>
                <c:pt idx="46">
                  <c:v>0.00605205479452055</c:v>
                </c:pt>
                <c:pt idx="47">
                  <c:v>0.00618082191780822</c:v>
                </c:pt>
                <c:pt idx="48">
                  <c:v>0.00630958904109589</c:v>
                </c:pt>
                <c:pt idx="49">
                  <c:v>0.00643835616438356</c:v>
                </c:pt>
                <c:pt idx="50">
                  <c:v>0.00656712328767123</c:v>
                </c:pt>
                <c:pt idx="51">
                  <c:v>0.0066958904109589</c:v>
                </c:pt>
                <c:pt idx="52">
                  <c:v>0.00682465753424658</c:v>
                </c:pt>
                <c:pt idx="53">
                  <c:v>0.00695342465753425</c:v>
                </c:pt>
                <c:pt idx="54">
                  <c:v>0.00708219178082192</c:v>
                </c:pt>
                <c:pt idx="55">
                  <c:v>0.00721095890410959</c:v>
                </c:pt>
                <c:pt idx="56">
                  <c:v>0.00733972602739726</c:v>
                </c:pt>
                <c:pt idx="57">
                  <c:v>0.00746849315068493</c:v>
                </c:pt>
                <c:pt idx="58">
                  <c:v>0.0075972602739726</c:v>
                </c:pt>
                <c:pt idx="59">
                  <c:v>0.00772602739726027</c:v>
                </c:pt>
                <c:pt idx="60">
                  <c:v>0.00785479452054795</c:v>
                </c:pt>
                <c:pt idx="61">
                  <c:v>0.00798356164383562</c:v>
                </c:pt>
                <c:pt idx="62">
                  <c:v>0.00811232876712329</c:v>
                </c:pt>
                <c:pt idx="63">
                  <c:v>0.00824109589041096</c:v>
                </c:pt>
                <c:pt idx="64">
                  <c:v>0.00836986301369863</c:v>
                </c:pt>
                <c:pt idx="65">
                  <c:v>0.0084986301369863</c:v>
                </c:pt>
                <c:pt idx="66">
                  <c:v>0.00862739726027397</c:v>
                </c:pt>
                <c:pt idx="67">
                  <c:v>0.00875616438356164</c:v>
                </c:pt>
                <c:pt idx="68">
                  <c:v>0.00888493150684931</c:v>
                </c:pt>
                <c:pt idx="69">
                  <c:v>0.00901369863013699</c:v>
                </c:pt>
                <c:pt idx="70">
                  <c:v>0.00914246575342466</c:v>
                </c:pt>
                <c:pt idx="71">
                  <c:v>0.00927123287671233</c:v>
                </c:pt>
                <c:pt idx="72">
                  <c:v>0.0094</c:v>
                </c:pt>
                <c:pt idx="73">
                  <c:v>0.00952876712328767</c:v>
                </c:pt>
                <c:pt idx="74">
                  <c:v>0.00965753424657534</c:v>
                </c:pt>
                <c:pt idx="75">
                  <c:v>0.00978630136986301</c:v>
                </c:pt>
                <c:pt idx="76">
                  <c:v>0.00991506849315069</c:v>
                </c:pt>
                <c:pt idx="77">
                  <c:v>0.0100438356164384</c:v>
                </c:pt>
                <c:pt idx="78">
                  <c:v>0.010172602739726</c:v>
                </c:pt>
                <c:pt idx="79">
                  <c:v>0.0103013698630137</c:v>
                </c:pt>
                <c:pt idx="80">
                  <c:v>0.0104301369863014</c:v>
                </c:pt>
                <c:pt idx="81">
                  <c:v>0.010558904109589</c:v>
                </c:pt>
                <c:pt idx="82">
                  <c:v>0.0106876712328767</c:v>
                </c:pt>
                <c:pt idx="83">
                  <c:v>0.0108164383561644</c:v>
                </c:pt>
                <c:pt idx="84">
                  <c:v>0.0109452054794521</c:v>
                </c:pt>
                <c:pt idx="85">
                  <c:v>0.0110739726027397</c:v>
                </c:pt>
                <c:pt idx="86">
                  <c:v>0.0112027397260274</c:v>
                </c:pt>
                <c:pt idx="87">
                  <c:v>0.0113315068493151</c:v>
                </c:pt>
                <c:pt idx="88">
                  <c:v>0.0114602739726027</c:v>
                </c:pt>
                <c:pt idx="89">
                  <c:v>0.0115890410958904</c:v>
                </c:pt>
                <c:pt idx="90">
                  <c:v>0.0117178082191781</c:v>
                </c:pt>
                <c:pt idx="91">
                  <c:v>0.0118465753424658</c:v>
                </c:pt>
                <c:pt idx="92">
                  <c:v>0.0119753424657534</c:v>
                </c:pt>
                <c:pt idx="93">
                  <c:v>0.0121041095890411</c:v>
                </c:pt>
              </c:numCache>
            </c:numRef>
          </c:val>
          <c:smooth val="0"/>
        </c:ser>
        <c:ser>
          <c:idx val="2"/>
          <c:order val="2"/>
          <c:tx>
            <c:strRef>
              <c:f>[工作簿1]Sheet2!$D$1</c:f>
              <c:strCache>
                <c:ptCount val="1"/>
                <c:pt idx="0">
                  <c:v>业绩比较基准增长率（高）</c:v>
                </c:pt>
              </c:strCache>
            </c:strRef>
          </c:tx>
          <c:spPr>
            <a:ln w="28575" cap="rnd">
              <a:solidFill>
                <a:schemeClr val="accent3"/>
              </a:solidFill>
              <a:round/>
            </a:ln>
            <a:effectLst/>
          </c:spPr>
          <c:marker>
            <c:symbol val="none"/>
          </c:marker>
          <c:dLbls>
            <c:delete val="1"/>
          </c:dLbls>
          <c:cat>
            <c:numRef>
              <c:f>[工作簿1]Sheet2!$A$2:$A$95</c:f>
              <c:numCache>
                <c:formatCode>yyyy/m/d</c:formatCode>
                <c:ptCount val="94"/>
                <c:pt idx="0" c:formatCode="yyyy/m/d">
                  <c:v>44468</c:v>
                </c:pt>
                <c:pt idx="1" c:formatCode="yyyy/m/d">
                  <c:v>44469</c:v>
                </c:pt>
                <c:pt idx="2" c:formatCode="yyyy/m/d">
                  <c:v>44470</c:v>
                </c:pt>
                <c:pt idx="3" c:formatCode="yyyy/m/d">
                  <c:v>44471</c:v>
                </c:pt>
                <c:pt idx="4" c:formatCode="yyyy/m/d">
                  <c:v>44472</c:v>
                </c:pt>
                <c:pt idx="5" c:formatCode="yyyy/m/d">
                  <c:v>44473</c:v>
                </c:pt>
                <c:pt idx="6" c:formatCode="yyyy/m/d">
                  <c:v>44474</c:v>
                </c:pt>
                <c:pt idx="7" c:formatCode="yyyy/m/d">
                  <c:v>44475</c:v>
                </c:pt>
                <c:pt idx="8" c:formatCode="yyyy/m/d">
                  <c:v>44476</c:v>
                </c:pt>
                <c:pt idx="9" c:formatCode="yyyy/m/d">
                  <c:v>44477</c:v>
                </c:pt>
                <c:pt idx="10" c:formatCode="yyyy/m/d">
                  <c:v>44478</c:v>
                </c:pt>
                <c:pt idx="11" c:formatCode="yyyy/m/d">
                  <c:v>44479</c:v>
                </c:pt>
                <c:pt idx="12" c:formatCode="yyyy/m/d">
                  <c:v>44480</c:v>
                </c:pt>
                <c:pt idx="13" c:formatCode="yyyy/m/d">
                  <c:v>44481</c:v>
                </c:pt>
                <c:pt idx="14" c:formatCode="yyyy/m/d">
                  <c:v>44482</c:v>
                </c:pt>
                <c:pt idx="15" c:formatCode="yyyy/m/d">
                  <c:v>44483</c:v>
                </c:pt>
                <c:pt idx="16" c:formatCode="yyyy/m/d">
                  <c:v>44484</c:v>
                </c:pt>
                <c:pt idx="17" c:formatCode="yyyy/m/d">
                  <c:v>44485</c:v>
                </c:pt>
                <c:pt idx="18" c:formatCode="yyyy/m/d">
                  <c:v>44486</c:v>
                </c:pt>
                <c:pt idx="19" c:formatCode="yyyy/m/d">
                  <c:v>44487</c:v>
                </c:pt>
                <c:pt idx="20" c:formatCode="yyyy/m/d">
                  <c:v>44488</c:v>
                </c:pt>
                <c:pt idx="21" c:formatCode="yyyy/m/d">
                  <c:v>44489</c:v>
                </c:pt>
                <c:pt idx="22" c:formatCode="yyyy/m/d">
                  <c:v>44490</c:v>
                </c:pt>
                <c:pt idx="23" c:formatCode="yyyy/m/d">
                  <c:v>44491</c:v>
                </c:pt>
                <c:pt idx="24" c:formatCode="yyyy/m/d">
                  <c:v>44492</c:v>
                </c:pt>
                <c:pt idx="25" c:formatCode="yyyy/m/d">
                  <c:v>44493</c:v>
                </c:pt>
                <c:pt idx="26" c:formatCode="yyyy/m/d">
                  <c:v>44494</c:v>
                </c:pt>
                <c:pt idx="27" c:formatCode="yyyy/m/d">
                  <c:v>44495</c:v>
                </c:pt>
                <c:pt idx="28" c:formatCode="yyyy/m/d">
                  <c:v>44496</c:v>
                </c:pt>
                <c:pt idx="29" c:formatCode="yyyy/m/d">
                  <c:v>44497</c:v>
                </c:pt>
                <c:pt idx="30" c:formatCode="yyyy/m/d">
                  <c:v>44498</c:v>
                </c:pt>
                <c:pt idx="31" c:formatCode="yyyy/m/d">
                  <c:v>44499</c:v>
                </c:pt>
                <c:pt idx="32" c:formatCode="yyyy/m/d">
                  <c:v>44500</c:v>
                </c:pt>
                <c:pt idx="33" c:formatCode="yyyy/m/d">
                  <c:v>44501</c:v>
                </c:pt>
                <c:pt idx="34" c:formatCode="yyyy/m/d">
                  <c:v>44502</c:v>
                </c:pt>
                <c:pt idx="35" c:formatCode="yyyy/m/d">
                  <c:v>44503</c:v>
                </c:pt>
                <c:pt idx="36" c:formatCode="yyyy/m/d">
                  <c:v>44504</c:v>
                </c:pt>
                <c:pt idx="37" c:formatCode="yyyy/m/d">
                  <c:v>44505</c:v>
                </c:pt>
                <c:pt idx="38" c:formatCode="yyyy/m/d">
                  <c:v>44506</c:v>
                </c:pt>
                <c:pt idx="39" c:formatCode="yyyy/m/d">
                  <c:v>44507</c:v>
                </c:pt>
                <c:pt idx="40" c:formatCode="yyyy/m/d">
                  <c:v>44508</c:v>
                </c:pt>
                <c:pt idx="41" c:formatCode="yyyy/m/d">
                  <c:v>44509</c:v>
                </c:pt>
                <c:pt idx="42" c:formatCode="yyyy/m/d">
                  <c:v>44510</c:v>
                </c:pt>
                <c:pt idx="43" c:formatCode="yyyy/m/d">
                  <c:v>44511</c:v>
                </c:pt>
                <c:pt idx="44" c:formatCode="yyyy/m/d">
                  <c:v>44512</c:v>
                </c:pt>
                <c:pt idx="45" c:formatCode="yyyy/m/d">
                  <c:v>44513</c:v>
                </c:pt>
                <c:pt idx="46" c:formatCode="yyyy/m/d">
                  <c:v>44514</c:v>
                </c:pt>
                <c:pt idx="47" c:formatCode="yyyy/m/d">
                  <c:v>44515</c:v>
                </c:pt>
                <c:pt idx="48" c:formatCode="yyyy/m/d">
                  <c:v>44516</c:v>
                </c:pt>
                <c:pt idx="49" c:formatCode="yyyy/m/d">
                  <c:v>44517</c:v>
                </c:pt>
                <c:pt idx="50" c:formatCode="yyyy/m/d">
                  <c:v>44518</c:v>
                </c:pt>
                <c:pt idx="51" c:formatCode="yyyy/m/d">
                  <c:v>44519</c:v>
                </c:pt>
                <c:pt idx="52" c:formatCode="yyyy/m/d">
                  <c:v>44520</c:v>
                </c:pt>
                <c:pt idx="53" c:formatCode="yyyy/m/d">
                  <c:v>44521</c:v>
                </c:pt>
                <c:pt idx="54" c:formatCode="yyyy/m/d">
                  <c:v>44522</c:v>
                </c:pt>
                <c:pt idx="55" c:formatCode="yyyy/m/d">
                  <c:v>44523</c:v>
                </c:pt>
                <c:pt idx="56" c:formatCode="yyyy/m/d">
                  <c:v>44524</c:v>
                </c:pt>
                <c:pt idx="57" c:formatCode="yyyy/m/d">
                  <c:v>44525</c:v>
                </c:pt>
                <c:pt idx="58" c:formatCode="yyyy/m/d">
                  <c:v>44526</c:v>
                </c:pt>
                <c:pt idx="59" c:formatCode="yyyy/m/d">
                  <c:v>44527</c:v>
                </c:pt>
                <c:pt idx="60" c:formatCode="yyyy/m/d">
                  <c:v>44528</c:v>
                </c:pt>
                <c:pt idx="61" c:formatCode="yyyy/m/d">
                  <c:v>44529</c:v>
                </c:pt>
                <c:pt idx="62" c:formatCode="yyyy/m/d">
                  <c:v>44530</c:v>
                </c:pt>
                <c:pt idx="63" c:formatCode="yyyy/m/d">
                  <c:v>44531</c:v>
                </c:pt>
                <c:pt idx="64" c:formatCode="yyyy/m/d">
                  <c:v>44532</c:v>
                </c:pt>
                <c:pt idx="65" c:formatCode="yyyy/m/d">
                  <c:v>44533</c:v>
                </c:pt>
                <c:pt idx="66" c:formatCode="yyyy/m/d">
                  <c:v>44534</c:v>
                </c:pt>
                <c:pt idx="67" c:formatCode="yyyy/m/d">
                  <c:v>44535</c:v>
                </c:pt>
                <c:pt idx="68" c:formatCode="yyyy/m/d">
                  <c:v>44536</c:v>
                </c:pt>
                <c:pt idx="69" c:formatCode="yyyy/m/d">
                  <c:v>44537</c:v>
                </c:pt>
                <c:pt idx="70" c:formatCode="yyyy/m/d">
                  <c:v>44538</c:v>
                </c:pt>
                <c:pt idx="71" c:formatCode="yyyy/m/d">
                  <c:v>44539</c:v>
                </c:pt>
                <c:pt idx="72" c:formatCode="yyyy/m/d">
                  <c:v>44540</c:v>
                </c:pt>
                <c:pt idx="73" c:formatCode="yyyy/m/d">
                  <c:v>44541</c:v>
                </c:pt>
                <c:pt idx="74" c:formatCode="yyyy/m/d">
                  <c:v>44542</c:v>
                </c:pt>
                <c:pt idx="75" c:formatCode="yyyy/m/d">
                  <c:v>44543</c:v>
                </c:pt>
                <c:pt idx="76" c:formatCode="yyyy/m/d">
                  <c:v>44544</c:v>
                </c:pt>
                <c:pt idx="77" c:formatCode="yyyy/m/d">
                  <c:v>44545</c:v>
                </c:pt>
                <c:pt idx="78" c:formatCode="yyyy/m/d">
                  <c:v>44546</c:v>
                </c:pt>
                <c:pt idx="79" c:formatCode="yyyy/m/d">
                  <c:v>44547</c:v>
                </c:pt>
                <c:pt idx="80" c:formatCode="yyyy/m/d">
                  <c:v>44548</c:v>
                </c:pt>
                <c:pt idx="81" c:formatCode="yyyy/m/d">
                  <c:v>44549</c:v>
                </c:pt>
                <c:pt idx="82" c:formatCode="yyyy/m/d">
                  <c:v>44550</c:v>
                </c:pt>
                <c:pt idx="83" c:formatCode="yyyy/m/d">
                  <c:v>44551</c:v>
                </c:pt>
                <c:pt idx="84" c:formatCode="yyyy/m/d">
                  <c:v>44552</c:v>
                </c:pt>
                <c:pt idx="85" c:formatCode="yyyy/m/d">
                  <c:v>44553</c:v>
                </c:pt>
                <c:pt idx="86" c:formatCode="yyyy/m/d">
                  <c:v>44554</c:v>
                </c:pt>
                <c:pt idx="87" c:formatCode="yyyy/m/d">
                  <c:v>44555</c:v>
                </c:pt>
                <c:pt idx="88" c:formatCode="yyyy/m/d">
                  <c:v>44556</c:v>
                </c:pt>
                <c:pt idx="89" c:formatCode="yyyy/m/d">
                  <c:v>44557</c:v>
                </c:pt>
                <c:pt idx="90" c:formatCode="yyyy/m/d">
                  <c:v>44558</c:v>
                </c:pt>
                <c:pt idx="91" c:formatCode="yyyy/m/d">
                  <c:v>44559</c:v>
                </c:pt>
                <c:pt idx="92" c:formatCode="yyyy/m/d">
                  <c:v>44560</c:v>
                </c:pt>
                <c:pt idx="93" c:formatCode="yyyy/m/d">
                  <c:v>44561</c:v>
                </c:pt>
              </c:numCache>
            </c:numRef>
          </c:cat>
          <c:val>
            <c:numRef>
              <c:f>[工作簿1]Sheet2!$D$2:$D$95</c:f>
              <c:numCache>
                <c:formatCode>General</c:formatCode>
                <c:ptCount val="94"/>
                <c:pt idx="0">
                  <c:v>0.000142465753424658</c:v>
                </c:pt>
                <c:pt idx="1">
                  <c:v>0.000284931506849315</c:v>
                </c:pt>
                <c:pt idx="2">
                  <c:v>0.000427397260273973</c:v>
                </c:pt>
                <c:pt idx="3">
                  <c:v>0.00056986301369863</c:v>
                </c:pt>
                <c:pt idx="4">
                  <c:v>0.000712328767123288</c:v>
                </c:pt>
                <c:pt idx="5">
                  <c:v>0.000854794520547945</c:v>
                </c:pt>
                <c:pt idx="6">
                  <c:v>0.000997260273972603</c:v>
                </c:pt>
                <c:pt idx="7">
                  <c:v>0.00113972602739726</c:v>
                </c:pt>
                <c:pt idx="8">
                  <c:v>0.00128219178082192</c:v>
                </c:pt>
                <c:pt idx="9">
                  <c:v>0.00142465753424658</c:v>
                </c:pt>
                <c:pt idx="10">
                  <c:v>0.00156712328767123</c:v>
                </c:pt>
                <c:pt idx="11">
                  <c:v>0.00170958904109589</c:v>
                </c:pt>
                <c:pt idx="12">
                  <c:v>0.00185205479452055</c:v>
                </c:pt>
                <c:pt idx="13">
                  <c:v>0.00199452054794521</c:v>
                </c:pt>
                <c:pt idx="14">
                  <c:v>0.00213698630136986</c:v>
                </c:pt>
                <c:pt idx="15">
                  <c:v>0.00227945205479452</c:v>
                </c:pt>
                <c:pt idx="16">
                  <c:v>0.00242191780821918</c:v>
                </c:pt>
                <c:pt idx="17">
                  <c:v>0.00256438356164384</c:v>
                </c:pt>
                <c:pt idx="18">
                  <c:v>0.00270684931506849</c:v>
                </c:pt>
                <c:pt idx="19">
                  <c:v>0.00284931506849315</c:v>
                </c:pt>
                <c:pt idx="20">
                  <c:v>0.00299178082191781</c:v>
                </c:pt>
                <c:pt idx="21">
                  <c:v>0.00313424657534247</c:v>
                </c:pt>
                <c:pt idx="22">
                  <c:v>0.00327671232876712</c:v>
                </c:pt>
                <c:pt idx="23">
                  <c:v>0.00341917808219178</c:v>
                </c:pt>
                <c:pt idx="24">
                  <c:v>0.00356164383561644</c:v>
                </c:pt>
                <c:pt idx="25">
                  <c:v>0.0037041095890411</c:v>
                </c:pt>
                <c:pt idx="26">
                  <c:v>0.00384657534246575</c:v>
                </c:pt>
                <c:pt idx="27">
                  <c:v>0.00398904109589041</c:v>
                </c:pt>
                <c:pt idx="28">
                  <c:v>0.00413150684931507</c:v>
                </c:pt>
                <c:pt idx="29">
                  <c:v>0.00427397260273973</c:v>
                </c:pt>
                <c:pt idx="30">
                  <c:v>0.00441643835616438</c:v>
                </c:pt>
                <c:pt idx="31">
                  <c:v>0.00455890410958904</c:v>
                </c:pt>
                <c:pt idx="32">
                  <c:v>0.0047013698630137</c:v>
                </c:pt>
                <c:pt idx="33">
                  <c:v>0.00484383561643836</c:v>
                </c:pt>
                <c:pt idx="34">
                  <c:v>0.00498630136986301</c:v>
                </c:pt>
                <c:pt idx="35">
                  <c:v>0.00512876712328767</c:v>
                </c:pt>
                <c:pt idx="36">
                  <c:v>0.00527123287671233</c:v>
                </c:pt>
                <c:pt idx="37">
                  <c:v>0.00541369863013699</c:v>
                </c:pt>
                <c:pt idx="38">
                  <c:v>0.00555616438356164</c:v>
                </c:pt>
                <c:pt idx="39">
                  <c:v>0.0056986301369863</c:v>
                </c:pt>
                <c:pt idx="40">
                  <c:v>0.00584109589041096</c:v>
                </c:pt>
                <c:pt idx="41">
                  <c:v>0.00598356164383562</c:v>
                </c:pt>
                <c:pt idx="42">
                  <c:v>0.00612602739726027</c:v>
                </c:pt>
                <c:pt idx="43">
                  <c:v>0.00626849315068493</c:v>
                </c:pt>
                <c:pt idx="44">
                  <c:v>0.00641095890410959</c:v>
                </c:pt>
                <c:pt idx="45">
                  <c:v>0.00655342465753425</c:v>
                </c:pt>
                <c:pt idx="46">
                  <c:v>0.00669589041095891</c:v>
                </c:pt>
                <c:pt idx="47">
                  <c:v>0.00683835616438356</c:v>
                </c:pt>
                <c:pt idx="48">
                  <c:v>0.00698082191780822</c:v>
                </c:pt>
                <c:pt idx="49">
                  <c:v>0.00712328767123288</c:v>
                </c:pt>
                <c:pt idx="50">
                  <c:v>0.00726575342465753</c:v>
                </c:pt>
                <c:pt idx="51">
                  <c:v>0.00740821917808219</c:v>
                </c:pt>
                <c:pt idx="52">
                  <c:v>0.00755068493150685</c:v>
                </c:pt>
                <c:pt idx="53">
                  <c:v>0.00769315068493151</c:v>
                </c:pt>
                <c:pt idx="54">
                  <c:v>0.00783561643835617</c:v>
                </c:pt>
                <c:pt idx="55">
                  <c:v>0.00797808219178082</c:v>
                </c:pt>
                <c:pt idx="56">
                  <c:v>0.00812054794520548</c:v>
                </c:pt>
                <c:pt idx="57">
                  <c:v>0.00826301369863014</c:v>
                </c:pt>
                <c:pt idx="58">
                  <c:v>0.0084054794520548</c:v>
                </c:pt>
                <c:pt idx="59">
                  <c:v>0.00854794520547945</c:v>
                </c:pt>
                <c:pt idx="60">
                  <c:v>0.00869041095890411</c:v>
                </c:pt>
                <c:pt idx="61">
                  <c:v>0.00883287671232877</c:v>
                </c:pt>
                <c:pt idx="62">
                  <c:v>0.00897534246575343</c:v>
                </c:pt>
                <c:pt idx="63">
                  <c:v>0.00911780821917808</c:v>
                </c:pt>
                <c:pt idx="64">
                  <c:v>0.00926027397260274</c:v>
                </c:pt>
                <c:pt idx="65">
                  <c:v>0.0094027397260274</c:v>
                </c:pt>
                <c:pt idx="66">
                  <c:v>0.00954520547945206</c:v>
                </c:pt>
                <c:pt idx="67">
                  <c:v>0.00968767123287671</c:v>
                </c:pt>
                <c:pt idx="68">
                  <c:v>0.00983013698630137</c:v>
                </c:pt>
                <c:pt idx="69">
                  <c:v>0.00997260273972603</c:v>
                </c:pt>
                <c:pt idx="70">
                  <c:v>0.0101150684931507</c:v>
                </c:pt>
                <c:pt idx="71">
                  <c:v>0.0102575342465753</c:v>
                </c:pt>
                <c:pt idx="72">
                  <c:v>0.0104</c:v>
                </c:pt>
                <c:pt idx="73">
                  <c:v>0.0105424657534247</c:v>
                </c:pt>
                <c:pt idx="74">
                  <c:v>0.0106849315068493</c:v>
                </c:pt>
                <c:pt idx="75">
                  <c:v>0.010827397260274</c:v>
                </c:pt>
                <c:pt idx="76">
                  <c:v>0.0109698630136986</c:v>
                </c:pt>
                <c:pt idx="77">
                  <c:v>0.0111123287671233</c:v>
                </c:pt>
                <c:pt idx="78">
                  <c:v>0.0112547945205479</c:v>
                </c:pt>
                <c:pt idx="79">
                  <c:v>0.0113972602739726</c:v>
                </c:pt>
                <c:pt idx="80">
                  <c:v>0.0115397260273973</c:v>
                </c:pt>
                <c:pt idx="81">
                  <c:v>0.0116821917808219</c:v>
                </c:pt>
                <c:pt idx="82">
                  <c:v>0.0118246575342466</c:v>
                </c:pt>
                <c:pt idx="83">
                  <c:v>0.0119671232876712</c:v>
                </c:pt>
                <c:pt idx="84">
                  <c:v>0.0121095890410959</c:v>
                </c:pt>
                <c:pt idx="85">
                  <c:v>0.0122520547945205</c:v>
                </c:pt>
                <c:pt idx="86">
                  <c:v>0.0123945205479452</c:v>
                </c:pt>
                <c:pt idx="87">
                  <c:v>0.0125369863013699</c:v>
                </c:pt>
                <c:pt idx="88">
                  <c:v>0.0126794520547945</c:v>
                </c:pt>
                <c:pt idx="89">
                  <c:v>0.0128219178082192</c:v>
                </c:pt>
                <c:pt idx="90">
                  <c:v>0.0129643835616438</c:v>
                </c:pt>
                <c:pt idx="91">
                  <c:v>0.0131068493150685</c:v>
                </c:pt>
                <c:pt idx="92">
                  <c:v>0.0132493150684932</c:v>
                </c:pt>
                <c:pt idx="93">
                  <c:v>0.0133917808219178</c:v>
                </c:pt>
              </c:numCache>
            </c:numRef>
          </c:val>
          <c:smooth val="0"/>
        </c:ser>
        <c:dLbls>
          <c:showLegendKey val="0"/>
          <c:showVal val="0"/>
          <c:showCatName val="0"/>
          <c:showSerName val="0"/>
          <c:showPercent val="0"/>
          <c:showBubbleSize val="0"/>
        </c:dLbls>
        <c:marker val="0"/>
        <c:smooth val="0"/>
        <c:axId val="1095765632"/>
        <c:axId val="1095754752"/>
      </c:lineChart>
      <c:dateAx>
        <c:axId val="1095765632"/>
        <c:scaling>
          <c:orientation val="minMax"/>
        </c:scaling>
        <c:delete val="0"/>
        <c:axPos val="b"/>
        <c:numFmt formatCode="m/d/yyyy"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095754752"/>
        <c:crosses val="autoZero"/>
        <c:auto val="1"/>
        <c:lblOffset val="100"/>
        <c:baseTimeUnit val="days"/>
      </c:dateAx>
      <c:valAx>
        <c:axId val="10957547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095765632"/>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FCA46A8-4A09-46C0-ABDD-542E5A2049BD}">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3352</Words>
  <Characters>4181</Characters>
  <Lines>33</Lines>
  <Paragraphs>9</Paragraphs>
  <TotalTime>266</TotalTime>
  <ScaleCrop>false</ScaleCrop>
  <LinksUpToDate>false</LinksUpToDate>
  <CharactersWithSpaces>4273</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2020-03-06T01:21:00Z</dcterms:created>
  <dc:creator>gynsh</dc:creator>
  <cp:lastModifiedBy>红茶加加</cp:lastModifiedBy>
  <cp:lastPrinted>2019-10-15T07:44:00Z</cp:lastPrinted>
  <dcterms:modified xsi:type="dcterms:W3CDTF">2022-04-13T09:11:52Z</dcterms:modified>
  <cp:revision>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erator">
    <vt:lpwstr>NPOI</vt:lpwstr>
  </property>
  <property fmtid="{D5CDD505-2E9C-101B-9397-08002B2CF9AE}" pid="3" name="Generator Version">
    <vt:lpwstr>2.2.1</vt:lpwstr>
  </property>
  <property fmtid="{D5CDD505-2E9C-101B-9397-08002B2CF9AE}" pid="4" name="KSOProductBuildVer">
    <vt:lpwstr>2052-11.1.0.11365</vt:lpwstr>
  </property>
  <property fmtid="{D5CDD505-2E9C-101B-9397-08002B2CF9AE}" pid="5" name="ICV">
    <vt:lpwstr>D3976858833040058D38DC2C368F4782</vt:lpwstr>
  </property>
</Properties>
</file>