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超值宝1年115期理财产品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2022年第2季度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本报告期自2022年04月01日</w:t>
      </w:r>
      <w:bookmarkStart w:id="3" w:name="OLE_LINK5"/>
      <w:bookmarkEnd w:id="3"/>
      <w:bookmarkStart w:id="4" w:name="OLE_LINK6"/>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超值宝1年115期理财产品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254,320,000.00份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260,606,013.63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户名：贵阳农村商业银行股份有限公司-超值宝1年1</w:t>
            </w:r>
            <w:r>
              <w:rPr>
                <w:rFonts w:ascii="宋体" w:hAnsi="宋体"/>
                <w:color w:val="auto"/>
                <w:szCs w:val="21"/>
                <w:shd w:val="clear" w:color="auto" w:fill="FFFFFF"/>
              </w:rPr>
              <w:t>15期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51900159610459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-272,220.86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2,785,627.21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260,606,013.63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1.0247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1.08</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1.20</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2.47</w:t>
            </w:r>
            <w:bookmarkStart w:id="7" w:name="OLE_LINK7"/>
            <w:bookmarkEnd w:id="7"/>
            <w:bookmarkStart w:id="8" w:name="OLE_LINK4"/>
            <w:bookmarkEnd w:id="8"/>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2.43</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2.79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line="360" w:lineRule="exact"/>
        <w:ind w:firstLine="420"/>
        <w:rPr>
          <w:color w:val="auto"/>
        </w:rPr>
      </w:pPr>
      <w:bookmarkStart w:id="9" w:name="OLE_LINK12"/>
      <w:bookmarkStart w:id="10" w:name="OLE_LINK13"/>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p>
    <w:p>
      <w:pPr>
        <w:spacing w:before="156" w:beforeLines="50" w:line="360" w:lineRule="exact"/>
        <w:rPr>
          <w:color w:val="auto"/>
        </w:rPr>
      </w:pPr>
      <w:r>
        <w:rPr>
          <w:color w:val="auto"/>
        </w:rPr>
        <w:drawing>
          <wp:anchor distT="0" distB="0" distL="114300" distR="114300" simplePos="0" relativeHeight="251660288" behindDoc="0" locked="0" layoutInCell="1" allowOverlap="1">
            <wp:simplePos x="0" y="0"/>
            <wp:positionH relativeFrom="column">
              <wp:posOffset>4445</wp:posOffset>
            </wp:positionH>
            <wp:positionV relativeFrom="paragraph">
              <wp:posOffset>-2475865</wp:posOffset>
            </wp:positionV>
            <wp:extent cx="474345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1.08%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261,148,167.83</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261,148,167.83</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4,673.68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261,148,167.83</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261,152,841.51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241,874,728.34</w:t>
            </w:r>
          </w:p>
        </w:tc>
        <w:tc>
          <w:tcPr>
            <w:tcW w:w="2127" w:type="dxa"/>
            <w:shd w:val="clear" w:color="auto" w:fill="auto"/>
            <w:vAlign w:val="center"/>
          </w:tcPr>
          <w:p>
            <w:pPr>
              <w:jc w:val="right"/>
              <w:rPr>
                <w:rFonts w:ascii="宋体" w:hAnsi="宋体"/>
                <w:color w:val="auto"/>
              </w:rPr>
            </w:pPr>
            <w:r>
              <w:rPr>
                <w:rFonts w:hint="eastAsia" w:ascii="宋体" w:hAnsi="宋体"/>
                <w:color w:val="auto"/>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241,768,407.59</w:t>
            </w:r>
          </w:p>
        </w:tc>
        <w:tc>
          <w:tcPr>
            <w:tcW w:w="2127" w:type="dxa"/>
            <w:shd w:val="clear" w:color="auto" w:fill="auto"/>
            <w:vAlign w:val="center"/>
          </w:tcPr>
          <w:p>
            <w:pPr>
              <w:jc w:val="right"/>
              <w:rPr>
                <w:rFonts w:ascii="宋体" w:hAnsi="宋体"/>
                <w:color w:val="auto"/>
              </w:rPr>
            </w:pPr>
            <w:r>
              <w:rPr>
                <w:rFonts w:hint="eastAsia" w:ascii="宋体" w:hAnsi="宋体"/>
                <w:color w:val="auto"/>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106,320.74</w:t>
            </w:r>
          </w:p>
        </w:tc>
        <w:tc>
          <w:tcPr>
            <w:tcW w:w="2127" w:type="dxa"/>
            <w:shd w:val="clear" w:color="auto" w:fill="auto"/>
            <w:vAlign w:val="center"/>
          </w:tcPr>
          <w:p>
            <w:pPr>
              <w:jc w:val="right"/>
              <w:rPr>
                <w:rFonts w:ascii="宋体" w:hAnsi="宋体"/>
                <w:color w:val="auto"/>
              </w:rPr>
            </w:pPr>
            <w:r>
              <w:rPr>
                <w:rFonts w:hint="eastAsia" w:ascii="宋体" w:hAnsi="宋体"/>
                <w:color w:val="auto"/>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17,897,477.52</w:t>
            </w:r>
          </w:p>
        </w:tc>
        <w:tc>
          <w:tcPr>
            <w:tcW w:w="2127" w:type="dxa"/>
            <w:shd w:val="clear" w:color="auto" w:fill="auto"/>
            <w:vAlign w:val="center"/>
          </w:tcPr>
          <w:p>
            <w:pPr>
              <w:jc w:val="right"/>
              <w:rPr>
                <w:rFonts w:ascii="宋体" w:hAnsi="宋体"/>
                <w:color w:val="auto"/>
              </w:rPr>
            </w:pPr>
            <w:r>
              <w:rPr>
                <w:rFonts w:hint="eastAsia" w:ascii="宋体" w:hAnsi="宋体"/>
                <w:color w:val="auto"/>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1,616,518.60</w:t>
            </w:r>
          </w:p>
        </w:tc>
        <w:tc>
          <w:tcPr>
            <w:tcW w:w="2127" w:type="dxa"/>
            <w:shd w:val="clear" w:color="auto" w:fill="auto"/>
            <w:vAlign w:val="center"/>
          </w:tcPr>
          <w:p>
            <w:pPr>
              <w:jc w:val="right"/>
              <w:rPr>
                <w:rFonts w:ascii="宋体" w:hAnsi="宋体"/>
                <w:color w:val="auto"/>
              </w:rPr>
            </w:pPr>
            <w:r>
              <w:rPr>
                <w:rFonts w:hint="eastAsia" w:ascii="宋体" w:hAnsi="宋体"/>
                <w:color w:val="auto"/>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261,388,724.45</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20筑工01</w:t>
            </w:r>
          </w:p>
        </w:tc>
        <w:tc>
          <w:tcPr>
            <w:tcW w:w="2138" w:type="dxa"/>
            <w:shd w:val="clear" w:color="auto" w:fill="auto"/>
          </w:tcPr>
          <w:p>
            <w:pPr>
              <w:jc w:val="right"/>
              <w:rPr>
                <w:rFonts w:ascii="宋体"/>
                <w:color w:val="auto"/>
                <w:szCs w:val="21"/>
              </w:rPr>
            </w:pPr>
            <w:r>
              <w:rPr>
                <w:color w:val="auto"/>
              </w:rPr>
              <w:t>17,536,501.58</w:t>
            </w:r>
          </w:p>
        </w:tc>
        <w:tc>
          <w:tcPr>
            <w:tcW w:w="2113" w:type="dxa"/>
            <w:shd w:val="clear" w:color="auto" w:fill="auto"/>
          </w:tcPr>
          <w:p>
            <w:pPr>
              <w:jc w:val="right"/>
              <w:rPr>
                <w:rFonts w:ascii="宋体"/>
                <w:color w:val="auto"/>
                <w:szCs w:val="21"/>
              </w:rPr>
            </w:pPr>
            <w:r>
              <w:rPr>
                <w:color w:val="auto"/>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19贵高科</w:t>
            </w:r>
          </w:p>
        </w:tc>
        <w:tc>
          <w:tcPr>
            <w:tcW w:w="2138" w:type="dxa"/>
            <w:shd w:val="clear" w:color="auto" w:fill="auto"/>
          </w:tcPr>
          <w:p>
            <w:pPr>
              <w:jc w:val="right"/>
              <w:rPr>
                <w:rFonts w:ascii="宋体"/>
                <w:color w:val="auto"/>
                <w:szCs w:val="21"/>
              </w:rPr>
            </w:pPr>
            <w:r>
              <w:rPr>
                <w:color w:val="auto"/>
              </w:rPr>
              <w:t>12,592,660.57</w:t>
            </w:r>
          </w:p>
        </w:tc>
        <w:tc>
          <w:tcPr>
            <w:tcW w:w="2113" w:type="dxa"/>
            <w:shd w:val="clear" w:color="auto" w:fill="auto"/>
          </w:tcPr>
          <w:p>
            <w:pPr>
              <w:jc w:val="right"/>
              <w:rPr>
                <w:rFonts w:ascii="宋体"/>
                <w:color w:val="auto"/>
                <w:szCs w:val="21"/>
              </w:rPr>
            </w:pPr>
            <w:r>
              <w:rPr>
                <w:color w:val="auto"/>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20黔交旅投债</w:t>
            </w:r>
          </w:p>
        </w:tc>
        <w:tc>
          <w:tcPr>
            <w:tcW w:w="2138" w:type="dxa"/>
            <w:shd w:val="clear" w:color="auto" w:fill="auto"/>
          </w:tcPr>
          <w:p>
            <w:pPr>
              <w:jc w:val="right"/>
              <w:rPr>
                <w:rFonts w:ascii="宋体"/>
                <w:color w:val="auto"/>
                <w:szCs w:val="21"/>
              </w:rPr>
            </w:pPr>
            <w:r>
              <w:rPr>
                <w:color w:val="auto"/>
              </w:rPr>
              <w:t>12,205,208.40</w:t>
            </w:r>
          </w:p>
        </w:tc>
        <w:tc>
          <w:tcPr>
            <w:tcW w:w="2113" w:type="dxa"/>
            <w:shd w:val="clear" w:color="auto" w:fill="auto"/>
          </w:tcPr>
          <w:p>
            <w:pPr>
              <w:jc w:val="right"/>
              <w:rPr>
                <w:rFonts w:ascii="宋体"/>
                <w:color w:val="auto"/>
                <w:szCs w:val="21"/>
              </w:rPr>
            </w:pPr>
            <w:r>
              <w:rPr>
                <w:color w:val="auto"/>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19金凤凰</w:t>
            </w:r>
          </w:p>
        </w:tc>
        <w:tc>
          <w:tcPr>
            <w:tcW w:w="2138" w:type="dxa"/>
            <w:shd w:val="clear" w:color="auto" w:fill="auto"/>
          </w:tcPr>
          <w:p>
            <w:pPr>
              <w:jc w:val="right"/>
              <w:rPr>
                <w:rFonts w:ascii="宋体"/>
                <w:color w:val="auto"/>
                <w:szCs w:val="21"/>
              </w:rPr>
            </w:pPr>
            <w:r>
              <w:rPr>
                <w:color w:val="auto"/>
              </w:rPr>
              <w:t>11,345,599.93</w:t>
            </w:r>
          </w:p>
        </w:tc>
        <w:tc>
          <w:tcPr>
            <w:tcW w:w="2113" w:type="dxa"/>
            <w:shd w:val="clear" w:color="auto" w:fill="auto"/>
          </w:tcPr>
          <w:p>
            <w:pPr>
              <w:jc w:val="right"/>
              <w:rPr>
                <w:rFonts w:ascii="宋体"/>
                <w:color w:val="auto"/>
                <w:szCs w:val="21"/>
              </w:rPr>
            </w:pPr>
            <w:r>
              <w:rPr>
                <w:color w:val="auto"/>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19贵合投资债</w:t>
            </w:r>
          </w:p>
        </w:tc>
        <w:tc>
          <w:tcPr>
            <w:tcW w:w="2138" w:type="dxa"/>
            <w:shd w:val="clear" w:color="auto" w:fill="auto"/>
          </w:tcPr>
          <w:p>
            <w:pPr>
              <w:jc w:val="right"/>
              <w:rPr>
                <w:rFonts w:ascii="宋体"/>
                <w:color w:val="auto"/>
                <w:szCs w:val="21"/>
              </w:rPr>
            </w:pPr>
            <w:r>
              <w:rPr>
                <w:color w:val="auto"/>
              </w:rPr>
              <w:t>11,229,234.54</w:t>
            </w:r>
          </w:p>
        </w:tc>
        <w:tc>
          <w:tcPr>
            <w:tcW w:w="2113"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21高科专项债01</w:t>
            </w:r>
          </w:p>
        </w:tc>
        <w:tc>
          <w:tcPr>
            <w:tcW w:w="2138" w:type="dxa"/>
            <w:shd w:val="clear" w:color="auto" w:fill="auto"/>
          </w:tcPr>
          <w:p>
            <w:pPr>
              <w:jc w:val="right"/>
              <w:rPr>
                <w:rFonts w:ascii="宋体"/>
                <w:color w:val="auto"/>
                <w:szCs w:val="21"/>
              </w:rPr>
            </w:pPr>
            <w:r>
              <w:rPr>
                <w:color w:val="auto"/>
              </w:rPr>
              <w:t>11,222,099.82</w:t>
            </w:r>
          </w:p>
        </w:tc>
        <w:tc>
          <w:tcPr>
            <w:tcW w:w="2113"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11,079,187.74</w:t>
            </w:r>
          </w:p>
        </w:tc>
        <w:tc>
          <w:tcPr>
            <w:tcW w:w="2113" w:type="dxa"/>
            <w:shd w:val="clear" w:color="auto" w:fill="auto"/>
          </w:tcPr>
          <w:p>
            <w:pPr>
              <w:jc w:val="right"/>
              <w:rPr>
                <w:rFonts w:ascii="宋体"/>
                <w:color w:val="auto"/>
                <w:szCs w:val="21"/>
              </w:rPr>
            </w:pPr>
            <w:r>
              <w:rPr>
                <w:color w:val="auto"/>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22贴现国债26</w:t>
            </w:r>
          </w:p>
        </w:tc>
        <w:tc>
          <w:tcPr>
            <w:tcW w:w="2138" w:type="dxa"/>
            <w:shd w:val="clear" w:color="auto" w:fill="auto"/>
          </w:tcPr>
          <w:p>
            <w:pPr>
              <w:jc w:val="right"/>
              <w:rPr>
                <w:rFonts w:ascii="宋体"/>
                <w:color w:val="auto"/>
                <w:szCs w:val="21"/>
              </w:rPr>
            </w:pPr>
            <w:r>
              <w:rPr>
                <w:color w:val="auto"/>
              </w:rPr>
              <w:t>10,739,115.15</w:t>
            </w:r>
          </w:p>
        </w:tc>
        <w:tc>
          <w:tcPr>
            <w:tcW w:w="2113" w:type="dxa"/>
            <w:shd w:val="clear" w:color="auto" w:fill="auto"/>
          </w:tcPr>
          <w:p>
            <w:pPr>
              <w:jc w:val="right"/>
              <w:rPr>
                <w:rFonts w:ascii="宋体"/>
                <w:color w:val="auto"/>
                <w:szCs w:val="21"/>
              </w:rPr>
            </w:pPr>
            <w:r>
              <w:rPr>
                <w:color w:val="auto"/>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10,492,076.57</w:t>
            </w:r>
          </w:p>
        </w:tc>
        <w:tc>
          <w:tcPr>
            <w:tcW w:w="2113" w:type="dxa"/>
            <w:shd w:val="clear" w:color="auto" w:fill="auto"/>
          </w:tcPr>
          <w:p>
            <w:pPr>
              <w:jc w:val="right"/>
              <w:rPr>
                <w:rFonts w:ascii="宋体"/>
                <w:color w:val="auto"/>
                <w:szCs w:val="21"/>
              </w:rPr>
            </w:pPr>
            <w:r>
              <w:rPr>
                <w:color w:val="auto"/>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19佳源03</w:t>
            </w:r>
          </w:p>
        </w:tc>
        <w:tc>
          <w:tcPr>
            <w:tcW w:w="2138" w:type="dxa"/>
            <w:shd w:val="clear" w:color="auto" w:fill="auto"/>
          </w:tcPr>
          <w:p>
            <w:pPr>
              <w:jc w:val="right"/>
              <w:rPr>
                <w:rFonts w:ascii="宋体"/>
                <w:color w:val="auto"/>
                <w:szCs w:val="21"/>
              </w:rPr>
            </w:pPr>
            <w:r>
              <w:rPr>
                <w:color w:val="auto"/>
              </w:rPr>
              <w:t>9,915,536.94</w:t>
            </w:r>
          </w:p>
        </w:tc>
        <w:tc>
          <w:tcPr>
            <w:tcW w:w="2113" w:type="dxa"/>
            <w:shd w:val="clear" w:color="auto" w:fill="auto"/>
          </w:tcPr>
          <w:p>
            <w:pPr>
              <w:jc w:val="right"/>
              <w:rPr>
                <w:rFonts w:ascii="宋体"/>
                <w:color w:val="auto"/>
                <w:szCs w:val="21"/>
              </w:rPr>
            </w:pPr>
            <w:r>
              <w:rPr>
                <w:color w:val="auto"/>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118,357,221.25</w:t>
            </w:r>
          </w:p>
        </w:tc>
        <w:tc>
          <w:tcPr>
            <w:tcW w:w="2113" w:type="dxa"/>
            <w:shd w:val="clear" w:color="auto" w:fill="auto"/>
          </w:tcPr>
          <w:p>
            <w:pPr>
              <w:jc w:val="right"/>
              <w:rPr>
                <w:rFonts w:ascii="宋体"/>
                <w:color w:val="auto"/>
                <w:szCs w:val="21"/>
              </w:rPr>
            </w:pPr>
            <w:r>
              <w:rPr>
                <w:color w:val="auto"/>
              </w:rPr>
              <w:t>45.32</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bookmarkStart w:id="13" w:name="_GoBack"/>
      <w:bookmarkEnd w:id="13"/>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5tSAD7piUxDqvSfZxtTgY9mjN2o=" w:salt="H7OMju5Chveb0x3rOqdv9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FE826B0"/>
    <w:rsid w:val="160A1BA8"/>
    <w:rsid w:val="2E115A01"/>
    <w:rsid w:val="37732D98"/>
    <w:rsid w:val="745016C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15&#26399;WB0082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[1年115期WB008224.xlsx]Sheet2!$B$1</c:f>
              <c:strCache>
                <c:ptCount val="1"/>
                <c:pt idx="0">
                  <c:v>净值增长率</c:v>
                </c:pt>
              </c:strCache>
            </c:strRef>
          </c:tx>
          <c:spPr>
            <a:ln w="28575" cap="rnd">
              <a:solidFill>
                <a:schemeClr val="accent1"/>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[1年115期WB008224.xlsx]Sheet2!$B$2:$B$185</c:f>
              <c:numCache>
                <c:formatCode>General</c:formatCode>
                <c:ptCount val="184"/>
                <c:pt idx="0">
                  <c:v>9.9999999999989e-5</c:v>
                </c:pt>
                <c:pt idx="1">
                  <c:v>0.000399999999999956</c:v>
                </c:pt>
                <c:pt idx="2">
                  <c:v>0.000699999999999923</c:v>
                </c:pt>
                <c:pt idx="3">
                  <c:v>0.000599999999999934</c:v>
                </c:pt>
                <c:pt idx="4">
                  <c:v>0.000599999999999934</c:v>
                </c:pt>
                <c:pt idx="5">
                  <c:v>0.000599999999999934</c:v>
                </c:pt>
                <c:pt idx="6">
                  <c:v>0.00140000000000007</c:v>
                </c:pt>
                <c:pt idx="7">
                  <c:v>0.00180000000000002</c:v>
                </c:pt>
                <c:pt idx="8">
                  <c:v>0.00190000000000001</c:v>
                </c:pt>
                <c:pt idx="9">
                  <c:v>0.00209999999999999</c:v>
                </c:pt>
                <c:pt idx="10">
                  <c:v>0.00209999999999999</c:v>
                </c:pt>
                <c:pt idx="11">
                  <c:v>0.00209999999999999</c:v>
                </c:pt>
                <c:pt idx="12">
                  <c:v>0.00269999999999992</c:v>
                </c:pt>
                <c:pt idx="13">
                  <c:v>0.0028999999999999</c:v>
                </c:pt>
                <c:pt idx="14">
                  <c:v>0.00330000000000008</c:v>
                </c:pt>
                <c:pt idx="15">
                  <c:v>0.00360000000000005</c:v>
                </c:pt>
                <c:pt idx="16">
                  <c:v>0.00390000000000001</c:v>
                </c:pt>
                <c:pt idx="17">
                  <c:v>0.00390000000000001</c:v>
                </c:pt>
                <c:pt idx="18">
                  <c:v>0.00390000000000001</c:v>
                </c:pt>
                <c:pt idx="19">
                  <c:v>0.00590000000000002</c:v>
                </c:pt>
                <c:pt idx="20">
                  <c:v>0.00619999999999998</c:v>
                </c:pt>
                <c:pt idx="21">
                  <c:v>0.00689999999999991</c:v>
                </c:pt>
                <c:pt idx="22">
                  <c:v>0.00730000000000008</c:v>
                </c:pt>
                <c:pt idx="23">
                  <c:v>0.00780000000000003</c:v>
                </c:pt>
                <c:pt idx="24">
                  <c:v>0.00780000000000003</c:v>
                </c:pt>
                <c:pt idx="25">
                  <c:v>0.00780000000000003</c:v>
                </c:pt>
                <c:pt idx="26">
                  <c:v>0.00859999999999994</c:v>
                </c:pt>
                <c:pt idx="27">
                  <c:v>0.00879999999999992</c:v>
                </c:pt>
                <c:pt idx="28">
                  <c:v>0.00910000000000011</c:v>
                </c:pt>
                <c:pt idx="29">
                  <c:v>0.00930000000000009</c:v>
                </c:pt>
                <c:pt idx="30">
                  <c:v>0.00950000000000006</c:v>
                </c:pt>
                <c:pt idx="31">
                  <c:v>0.00950000000000006</c:v>
                </c:pt>
                <c:pt idx="32">
                  <c:v>0.00980000000000003</c:v>
                </c:pt>
                <c:pt idx="33">
                  <c:v>0.01</c:v>
                </c:pt>
                <c:pt idx="34">
                  <c:v>0.01</c:v>
                </c:pt>
                <c:pt idx="35">
                  <c:v>0.01</c:v>
                </c:pt>
                <c:pt idx="36">
                  <c:v>0.01</c:v>
                </c:pt>
                <c:pt idx="37">
                  <c:v>0.01</c:v>
                </c:pt>
                <c:pt idx="38">
                  <c:v>0.00990000000000002</c:v>
                </c:pt>
                <c:pt idx="39">
                  <c:v>0.00990000000000002</c:v>
                </c:pt>
                <c:pt idx="40">
                  <c:v>0.0115000000000001</c:v>
                </c:pt>
                <c:pt idx="41">
                  <c:v>0.0115000000000001</c:v>
                </c:pt>
                <c:pt idx="42">
                  <c:v>0.0117</c:v>
                </c:pt>
                <c:pt idx="43">
                  <c:v>0.0117</c:v>
                </c:pt>
                <c:pt idx="44">
                  <c:v>0.0114000000000001</c:v>
                </c:pt>
                <c:pt idx="45">
                  <c:v>0.0114000000000001</c:v>
                </c:pt>
                <c:pt idx="46">
                  <c:v>0.0114000000000001</c:v>
                </c:pt>
                <c:pt idx="47">
                  <c:v>0.0116000000000001</c:v>
                </c:pt>
                <c:pt idx="48">
                  <c:v>0.0115000000000001</c:v>
                </c:pt>
                <c:pt idx="49">
                  <c:v>0.0117</c:v>
                </c:pt>
                <c:pt idx="50">
                  <c:v>0.0119</c:v>
                </c:pt>
                <c:pt idx="51">
                  <c:v>0.0121</c:v>
                </c:pt>
                <c:pt idx="52">
                  <c:v>0.0121</c:v>
                </c:pt>
                <c:pt idx="53">
                  <c:v>0.0121</c:v>
                </c:pt>
                <c:pt idx="54">
                  <c:v>0.0121</c:v>
                </c:pt>
                <c:pt idx="55">
                  <c:v>0.0118</c:v>
                </c:pt>
                <c:pt idx="56">
                  <c:v>0.0115000000000001</c:v>
                </c:pt>
                <c:pt idx="57">
                  <c:v>0.0116000000000001</c:v>
                </c:pt>
                <c:pt idx="58">
                  <c:v>0.0117</c:v>
                </c:pt>
                <c:pt idx="59">
                  <c:v>0.0116000000000001</c:v>
                </c:pt>
                <c:pt idx="60">
                  <c:v>0.0116000000000001</c:v>
                </c:pt>
                <c:pt idx="61">
                  <c:v>0.0122</c:v>
                </c:pt>
                <c:pt idx="62">
                  <c:v>0.0122</c:v>
                </c:pt>
                <c:pt idx="63">
                  <c:v>0.012</c:v>
                </c:pt>
                <c:pt idx="64">
                  <c:v>0.0117</c:v>
                </c:pt>
                <c:pt idx="65">
                  <c:v>0.0116000000000001</c:v>
                </c:pt>
                <c:pt idx="66">
                  <c:v>0.0116000000000001</c:v>
                </c:pt>
                <c:pt idx="67">
                  <c:v>0.0116000000000001</c:v>
                </c:pt>
                <c:pt idx="68">
                  <c:v>0.0118</c:v>
                </c:pt>
                <c:pt idx="69">
                  <c:v>0.0114000000000001</c:v>
                </c:pt>
                <c:pt idx="70">
                  <c:v>0.0108999999999999</c:v>
                </c:pt>
                <c:pt idx="71">
                  <c:v>0.0106999999999999</c:v>
                </c:pt>
                <c:pt idx="72">
                  <c:v>0.0109999999999999</c:v>
                </c:pt>
                <c:pt idx="73">
                  <c:v>0.0108999999999999</c:v>
                </c:pt>
                <c:pt idx="74">
                  <c:v>0.0108999999999999</c:v>
                </c:pt>
                <c:pt idx="75">
                  <c:v>0.0122</c:v>
                </c:pt>
                <c:pt idx="76">
                  <c:v>0.0115000000000001</c:v>
                </c:pt>
                <c:pt idx="77">
                  <c:v>0.0117</c:v>
                </c:pt>
                <c:pt idx="78">
                  <c:v>0.0116000000000001</c:v>
                </c:pt>
                <c:pt idx="79">
                  <c:v>0.0117</c:v>
                </c:pt>
                <c:pt idx="80">
                  <c:v>0.0116000000000001</c:v>
                </c:pt>
                <c:pt idx="81">
                  <c:v>0.0116000000000001</c:v>
                </c:pt>
                <c:pt idx="82">
                  <c:v>0.012</c:v>
                </c:pt>
                <c:pt idx="83">
                  <c:v>0.0118</c:v>
                </c:pt>
                <c:pt idx="84">
                  <c:v>0.012</c:v>
                </c:pt>
                <c:pt idx="85">
                  <c:v>0.0122</c:v>
                </c:pt>
                <c:pt idx="86">
                  <c:v>0.0125</c:v>
                </c:pt>
                <c:pt idx="87">
                  <c:v>0.0125</c:v>
                </c:pt>
                <c:pt idx="88">
                  <c:v>0.0125</c:v>
                </c:pt>
                <c:pt idx="89">
                  <c:v>0.0130999999999999</c:v>
                </c:pt>
                <c:pt idx="90">
                  <c:v>0.0133000000000001</c:v>
                </c:pt>
                <c:pt idx="91">
                  <c:v>0.0136000000000001</c:v>
                </c:pt>
                <c:pt idx="92">
                  <c:v>0.0138</c:v>
                </c:pt>
                <c:pt idx="93">
                  <c:v>0.0144</c:v>
                </c:pt>
                <c:pt idx="94">
                  <c:v>0.0144</c:v>
                </c:pt>
                <c:pt idx="95">
                  <c:v>0.0144</c:v>
                </c:pt>
                <c:pt idx="96">
                  <c:v>0.0143</c:v>
                </c:pt>
                <c:pt idx="97">
                  <c:v>0.0143</c:v>
                </c:pt>
                <c:pt idx="98">
                  <c:v>0.0157</c:v>
                </c:pt>
                <c:pt idx="99">
                  <c:v>0.0163</c:v>
                </c:pt>
                <c:pt idx="100">
                  <c:v>0.0165999999999999</c:v>
                </c:pt>
                <c:pt idx="101">
                  <c:v>0.0165</c:v>
                </c:pt>
                <c:pt idx="102">
                  <c:v>0.0165</c:v>
                </c:pt>
                <c:pt idx="103">
                  <c:v>0.0170999999999999</c:v>
                </c:pt>
                <c:pt idx="104">
                  <c:v>0.0169999999999999</c:v>
                </c:pt>
                <c:pt idx="105">
                  <c:v>0.0174000000000001</c:v>
                </c:pt>
                <c:pt idx="106">
                  <c:v>0.0178</c:v>
                </c:pt>
                <c:pt idx="107">
                  <c:v>0.0182</c:v>
                </c:pt>
                <c:pt idx="108">
                  <c:v>0.0182</c:v>
                </c:pt>
                <c:pt idx="109">
                  <c:v>0.0182</c:v>
                </c:pt>
                <c:pt idx="110">
                  <c:v>0.0181</c:v>
                </c:pt>
                <c:pt idx="111">
                  <c:v>0.0182</c:v>
                </c:pt>
                <c:pt idx="112">
                  <c:v>0.0182</c:v>
                </c:pt>
                <c:pt idx="113">
                  <c:v>0.0184</c:v>
                </c:pt>
                <c:pt idx="114">
                  <c:v>0.0186999999999999</c:v>
                </c:pt>
                <c:pt idx="115">
                  <c:v>0.0185999999999999</c:v>
                </c:pt>
                <c:pt idx="116">
                  <c:v>0.0185999999999999</c:v>
                </c:pt>
                <c:pt idx="117">
                  <c:v>0.0194000000000001</c:v>
                </c:pt>
                <c:pt idx="118">
                  <c:v>0.0195000000000001</c:v>
                </c:pt>
                <c:pt idx="119">
                  <c:v>0.0198</c:v>
                </c:pt>
                <c:pt idx="120">
                  <c:v>0.0198</c:v>
                </c:pt>
                <c:pt idx="121">
                  <c:v>0.0201</c:v>
                </c:pt>
                <c:pt idx="122">
                  <c:v>0.0203</c:v>
                </c:pt>
                <c:pt idx="123">
                  <c:v>0.0203</c:v>
                </c:pt>
                <c:pt idx="124">
                  <c:v>0.0203</c:v>
                </c:pt>
                <c:pt idx="125">
                  <c:v>0.0202</c:v>
                </c:pt>
                <c:pt idx="126">
                  <c:v>0.0202</c:v>
                </c:pt>
                <c:pt idx="127">
                  <c:v>0.0213000000000001</c:v>
                </c:pt>
                <c:pt idx="128">
                  <c:v>0.0215000000000001</c:v>
                </c:pt>
                <c:pt idx="129">
                  <c:v>0.0215000000000001</c:v>
                </c:pt>
                <c:pt idx="130">
                  <c:v>0.0215000000000001</c:v>
                </c:pt>
                <c:pt idx="131">
                  <c:v>0.0224</c:v>
                </c:pt>
                <c:pt idx="132">
                  <c:v>0.0227999999999999</c:v>
                </c:pt>
                <c:pt idx="133">
                  <c:v>0.0226999999999999</c:v>
                </c:pt>
                <c:pt idx="134">
                  <c:v>0.0229999999999999</c:v>
                </c:pt>
                <c:pt idx="135">
                  <c:v>0.0229999999999999</c:v>
                </c:pt>
                <c:pt idx="136">
                  <c:v>0.0229999999999999</c:v>
                </c:pt>
                <c:pt idx="137">
                  <c:v>0.0229999999999999</c:v>
                </c:pt>
                <c:pt idx="138">
                  <c:v>0.0238</c:v>
                </c:pt>
                <c:pt idx="139">
                  <c:v>0.0242</c:v>
                </c:pt>
                <c:pt idx="140">
                  <c:v>0.0247999999999999</c:v>
                </c:pt>
                <c:pt idx="141">
                  <c:v>0.0250999999999999</c:v>
                </c:pt>
                <c:pt idx="142">
                  <c:v>0.0254000000000001</c:v>
                </c:pt>
                <c:pt idx="143">
                  <c:v>0.0254000000000001</c:v>
                </c:pt>
                <c:pt idx="144">
                  <c:v>0.0254000000000001</c:v>
                </c:pt>
                <c:pt idx="145">
                  <c:v>0.0262</c:v>
                </c:pt>
                <c:pt idx="146">
                  <c:v>0.0264</c:v>
                </c:pt>
                <c:pt idx="147">
                  <c:v>0.0266</c:v>
                </c:pt>
                <c:pt idx="148">
                  <c:v>0.0271999999999999</c:v>
                </c:pt>
                <c:pt idx="149">
                  <c:v>0.0275000000000001</c:v>
                </c:pt>
                <c:pt idx="150">
                  <c:v>0.0274000000000001</c:v>
                </c:pt>
                <c:pt idx="151">
                  <c:v>0.0274000000000001</c:v>
                </c:pt>
                <c:pt idx="152">
                  <c:v>0.0250999999999999</c:v>
                </c:pt>
                <c:pt idx="153">
                  <c:v>0.0247999999999999</c:v>
                </c:pt>
                <c:pt idx="154">
                  <c:v>0.0254000000000001</c:v>
                </c:pt>
                <c:pt idx="155">
                  <c:v>0.0251999999999999</c:v>
                </c:pt>
                <c:pt idx="156">
                  <c:v>0.0251999999999999</c:v>
                </c:pt>
                <c:pt idx="157">
                  <c:v>0.0251999999999999</c:v>
                </c:pt>
                <c:pt idx="158">
                  <c:v>0.0251999999999999</c:v>
                </c:pt>
                <c:pt idx="159">
                  <c:v>0.0253000000000001</c:v>
                </c:pt>
                <c:pt idx="160">
                  <c:v>0.0253000000000001</c:v>
                </c:pt>
                <c:pt idx="161">
                  <c:v>0.0249999999999999</c:v>
                </c:pt>
                <c:pt idx="162">
                  <c:v>0.0251999999999999</c:v>
                </c:pt>
                <c:pt idx="163">
                  <c:v>0.0254000000000001</c:v>
                </c:pt>
                <c:pt idx="164">
                  <c:v>0.0254000000000001</c:v>
                </c:pt>
                <c:pt idx="165">
                  <c:v>0.0254000000000001</c:v>
                </c:pt>
                <c:pt idx="166">
                  <c:v>0.0257000000000001</c:v>
                </c:pt>
                <c:pt idx="167">
                  <c:v>0.0258</c:v>
                </c:pt>
                <c:pt idx="168">
                  <c:v>0.0259</c:v>
                </c:pt>
                <c:pt idx="169">
                  <c:v>0.0261</c:v>
                </c:pt>
                <c:pt idx="170">
                  <c:v>0.0266</c:v>
                </c:pt>
                <c:pt idx="171">
                  <c:v>0.0266</c:v>
                </c:pt>
                <c:pt idx="172">
                  <c:v>0.0266</c:v>
                </c:pt>
                <c:pt idx="173">
                  <c:v>0.028</c:v>
                </c:pt>
                <c:pt idx="174">
                  <c:v>0.028</c:v>
                </c:pt>
                <c:pt idx="175">
                  <c:v>0.0269999999999999</c:v>
                </c:pt>
                <c:pt idx="176">
                  <c:v>0.026</c:v>
                </c:pt>
                <c:pt idx="177">
                  <c:v>0.0248999999999999</c:v>
                </c:pt>
                <c:pt idx="178">
                  <c:v>0.0248999999999999</c:v>
                </c:pt>
                <c:pt idx="179">
                  <c:v>0.0247999999999999</c:v>
                </c:pt>
                <c:pt idx="180">
                  <c:v>0.0249999999999999</c:v>
                </c:pt>
                <c:pt idx="181">
                  <c:v>0.0248999999999999</c:v>
                </c:pt>
                <c:pt idx="182">
                  <c:v>0.0246999999999999</c:v>
                </c:pt>
                <c:pt idx="183">
                  <c:v>0.0246999999999999</c:v>
                </c:pt>
              </c:numCache>
            </c:numRef>
          </c:val>
          <c:smooth val="0"/>
        </c:ser>
        <c:ser>
          <c:idx val="1"/>
          <c:order val="1"/>
          <c:tx>
            <c:strRef>
              <c:f>[1年115期WB008224.xlsx]Sheet2!$C$1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[1年115期WB008224.xlsx]Sheet2!$C$2:$C$185</c:f>
              <c:numCache>
                <c:formatCode>General</c:formatCode>
                <c:ptCount val="184"/>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numCache>
            </c:numRef>
          </c:val>
          <c:smooth val="0"/>
        </c:ser>
        <c:ser>
          <c:idx val="2"/>
          <c:order val="2"/>
          <c:tx>
            <c:strRef>
              <c:f>[1年115期WB008224.xlsx]Sheet2!$D$1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[1年115期WB008224.xlsx]Sheet2!$A$2:$A$185</c:f>
              <c:numCache>
                <c:formatCode>yyyy/m/d</c:formatCode>
                <c:ptCount val="184"/>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numCache>
            </c:numRef>
          </c:cat>
          <c:val>
            <c:numRef>
              <c:f>[1年115期WB008224.xlsx]Sheet2!$D$2:$D$185</c:f>
              <c:numCache>
                <c:formatCode>General</c:formatCode>
                <c:ptCount val="184"/>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numCache>
            </c:numRef>
          </c:val>
          <c:smooth val="0"/>
        </c:ser>
        <c:dLbls>
          <c:showLegendKey val="0"/>
          <c:showVal val="0"/>
          <c:showCatName val="0"/>
          <c:showSerName val="0"/>
          <c:showPercent val="0"/>
          <c:showBubbleSize val="0"/>
        </c:dLbls>
        <c:marker val="0"/>
        <c:smooth val="0"/>
        <c:axId val="895730336"/>
        <c:axId val="895727072"/>
      </c:lineChart>
      <c:dateAx>
        <c:axId val="8957303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27072"/>
        <c:crosses val="autoZero"/>
        <c:auto val="1"/>
        <c:lblOffset val="100"/>
        <c:baseTimeUnit val="days"/>
      </c:dateAx>
      <c:valAx>
        <c:axId val="89572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03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2022-08-08T06:51:34Z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1BEEFF3C7B494CE8A7CD03817B73F87D</vt:lpwstr>
  </property>
</Properties>
</file>