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3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3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7,4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37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9526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68,49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092,81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10,592,197.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9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9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1</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9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9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572,616.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0.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神州盈悦1号集合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282,001.4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0,854,618.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0,854,618.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324.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5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0,859,943.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237,743.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99,298.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7,114.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40,462.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854,618.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5589463.3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2087886.4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9361094.0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8819848.6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5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7908264.6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7398221.4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7017482.4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6750936.8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6399657.9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5989360.3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322,216.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7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ux3GC2bvMNiweoFZlaE4e10BcBM=" w:salt="6TqbQNDasyWNmtak9O7Ga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4936FD"/>
    <w:rsid w:val="17E41503"/>
    <w:rsid w:val="1A9C7578"/>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8513422"/>
    <w:rsid w:val="68CC5C7E"/>
    <w:rsid w:val="697558C4"/>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0:38:4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