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1年147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147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户名：工商银行贵阳农商银行超值宝１年１４７期理财产品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账号：3602003829200530441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331,518.04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1,443,651.73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214,972,503.25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1.0237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1.0237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0.68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122,969,208.12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57.03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32,826,611.41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15.22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31,207,568.17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28,614,034.10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215,617,421.80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215,617,421.80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215,617,424.85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173,726,601.12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32,011,934.96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3,853,016.65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6,025,869.06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215,617,421.80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32,011,934.96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6,787,496.25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6,198,335.92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5,096,138.50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4,783,231.26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4,675,056.73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4,652,584.62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3,889,513.60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3,747,628.42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3,549,081.86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75,391,002.12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Y0YSVPWtK8l8cLqEC1WTUJbwhA=" w:salt="iHyUbQAJrWCqxAWfqZiEW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AD011B"/>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8721494"/>
    <w:rsid w:val="394F4B22"/>
    <w:rsid w:val="3BE5769D"/>
    <w:rsid w:val="3D305393"/>
    <w:rsid w:val="3EB35496"/>
    <w:rsid w:val="3F524561"/>
    <w:rsid w:val="4218718A"/>
    <w:rsid w:val="46776F3C"/>
    <w:rsid w:val="47B11009"/>
    <w:rsid w:val="482E4B5E"/>
    <w:rsid w:val="4ADF197E"/>
    <w:rsid w:val="4B4C2B3E"/>
    <w:rsid w:val="4B8E329B"/>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1.0168</c:v>
                </c:pt>
                <c:pt idx="1">
                  <c:v>1.0168</c:v>
                </c:pt>
                <c:pt idx="2">
                  <c:v>1.0168</c:v>
                </c:pt>
                <c:pt idx="3">
                  <c:v>1.0167</c:v>
                </c:pt>
                <c:pt idx="4">
                  <c:v>1.0167</c:v>
                </c:pt>
                <c:pt idx="5">
                  <c:v>1.0167</c:v>
                </c:pt>
                <c:pt idx="6">
                  <c:v>1.0167</c:v>
                </c:pt>
                <c:pt idx="7">
                  <c:v>1.0167</c:v>
                </c:pt>
                <c:pt idx="8">
                  <c:v>1.0167</c:v>
                </c:pt>
                <c:pt idx="9">
                  <c:v>1.0192</c:v>
                </c:pt>
                <c:pt idx="10">
                  <c:v>1.0194</c:v>
                </c:pt>
                <c:pt idx="11">
                  <c:v>1.0197</c:v>
                </c:pt>
                <c:pt idx="12">
                  <c:v>1.02</c:v>
                </c:pt>
                <c:pt idx="13">
                  <c:v>1.02</c:v>
                </c:pt>
                <c:pt idx="14">
                  <c:v>1.02</c:v>
                </c:pt>
                <c:pt idx="15">
                  <c:v>1.02</c:v>
                </c:pt>
                <c:pt idx="16">
                  <c:v>1.0207</c:v>
                </c:pt>
                <c:pt idx="17">
                  <c:v>1.021</c:v>
                </c:pt>
                <c:pt idx="18">
                  <c:v>1.0213</c:v>
                </c:pt>
                <c:pt idx="19">
                  <c:v>1.0209</c:v>
                </c:pt>
                <c:pt idx="20">
                  <c:v>1.021</c:v>
                </c:pt>
                <c:pt idx="21">
                  <c:v>1.021</c:v>
                </c:pt>
                <c:pt idx="22">
                  <c:v>1.021</c:v>
                </c:pt>
                <c:pt idx="23">
                  <c:v>1.0216</c:v>
                </c:pt>
                <c:pt idx="24">
                  <c:v>1.0216</c:v>
                </c:pt>
                <c:pt idx="25">
                  <c:v>1.0217</c:v>
                </c:pt>
                <c:pt idx="26">
                  <c:v>1.022</c:v>
                </c:pt>
                <c:pt idx="27">
                  <c:v>1.0222</c:v>
                </c:pt>
                <c:pt idx="28">
                  <c:v>1.0222</c:v>
                </c:pt>
                <c:pt idx="29">
                  <c:v>1.0221</c:v>
                </c:pt>
                <c:pt idx="30">
                  <c:v>1.0229</c:v>
                </c:pt>
                <c:pt idx="31">
                  <c:v>1.0232</c:v>
                </c:pt>
                <c:pt idx="32">
                  <c:v>1.0233</c:v>
                </c:pt>
                <c:pt idx="33">
                  <c:v>1.0236</c:v>
                </c:pt>
                <c:pt idx="34">
                  <c:v>1.0236</c:v>
                </c:pt>
                <c:pt idx="35">
                  <c:v>1.0236</c:v>
                </c:pt>
                <c:pt idx="36">
                  <c:v>1.0236</c:v>
                </c:pt>
                <c:pt idx="37">
                  <c:v>1.0241</c:v>
                </c:pt>
                <c:pt idx="38">
                  <c:v>1.0242</c:v>
                </c:pt>
                <c:pt idx="39">
                  <c:v>1.0242</c:v>
                </c:pt>
                <c:pt idx="40">
                  <c:v>1.0242</c:v>
                </c:pt>
                <c:pt idx="41">
                  <c:v>1.0241</c:v>
                </c:pt>
                <c:pt idx="42">
                  <c:v>1.0241</c:v>
                </c:pt>
                <c:pt idx="43">
                  <c:v>1.0241</c:v>
                </c:pt>
                <c:pt idx="44">
                  <c:v>1.0237</c:v>
                </c:pt>
                <c:pt idx="45">
                  <c:v>1.0231</c:v>
                </c:pt>
                <c:pt idx="46">
                  <c:v>1.0223</c:v>
                </c:pt>
                <c:pt idx="47">
                  <c:v>1.022</c:v>
                </c:pt>
                <c:pt idx="48">
                  <c:v>1.0218</c:v>
                </c:pt>
                <c:pt idx="49">
                  <c:v>1.0218</c:v>
                </c:pt>
                <c:pt idx="50">
                  <c:v>1.0217</c:v>
                </c:pt>
                <c:pt idx="51">
                  <c:v>1.0214</c:v>
                </c:pt>
                <c:pt idx="52">
                  <c:v>1.0213</c:v>
                </c:pt>
                <c:pt idx="53">
                  <c:v>1.0213</c:v>
                </c:pt>
                <c:pt idx="54">
                  <c:v>1.0215</c:v>
                </c:pt>
                <c:pt idx="55">
                  <c:v>1.0218</c:v>
                </c:pt>
                <c:pt idx="56">
                  <c:v>1.0217</c:v>
                </c:pt>
                <c:pt idx="57">
                  <c:v>1.0217</c:v>
                </c:pt>
                <c:pt idx="58">
                  <c:v>1.022</c:v>
                </c:pt>
                <c:pt idx="59">
                  <c:v>1.0214</c:v>
                </c:pt>
                <c:pt idx="60">
                  <c:v>1.0212</c:v>
                </c:pt>
                <c:pt idx="61">
                  <c:v>1.0209</c:v>
                </c:pt>
                <c:pt idx="62">
                  <c:v>1.0209</c:v>
                </c:pt>
                <c:pt idx="63">
                  <c:v>1.0209</c:v>
                </c:pt>
                <c:pt idx="64">
                  <c:v>1.0209</c:v>
                </c:pt>
                <c:pt idx="65">
                  <c:v>1.0212</c:v>
                </c:pt>
                <c:pt idx="66">
                  <c:v>1.0208</c:v>
                </c:pt>
                <c:pt idx="67">
                  <c:v>1.0205</c:v>
                </c:pt>
                <c:pt idx="68">
                  <c:v>1.0203</c:v>
                </c:pt>
                <c:pt idx="69">
                  <c:v>1.0202</c:v>
                </c:pt>
                <c:pt idx="70">
                  <c:v>1.0201</c:v>
                </c:pt>
                <c:pt idx="71">
                  <c:v>1.0201</c:v>
                </c:pt>
                <c:pt idx="72">
                  <c:v>1.0203</c:v>
                </c:pt>
                <c:pt idx="73">
                  <c:v>1.0186</c:v>
                </c:pt>
                <c:pt idx="74">
                  <c:v>1.0184</c:v>
                </c:pt>
                <c:pt idx="75">
                  <c:v>1.0189</c:v>
                </c:pt>
                <c:pt idx="76">
                  <c:v>1.0187</c:v>
                </c:pt>
                <c:pt idx="77">
                  <c:v>1.0187</c:v>
                </c:pt>
                <c:pt idx="78">
                  <c:v>1.0187</c:v>
                </c:pt>
                <c:pt idx="79">
                  <c:v>1.0192</c:v>
                </c:pt>
                <c:pt idx="80">
                  <c:v>1.0194</c:v>
                </c:pt>
                <c:pt idx="81">
                  <c:v>1.0195</c:v>
                </c:pt>
                <c:pt idx="82">
                  <c:v>1.0198</c:v>
                </c:pt>
                <c:pt idx="83">
                  <c:v>1.0203</c:v>
                </c:pt>
                <c:pt idx="84">
                  <c:v>1.0203</c:v>
                </c:pt>
                <c:pt idx="85">
                  <c:v>1.0203</c:v>
                </c:pt>
                <c:pt idx="86">
                  <c:v>1.0225</c:v>
                </c:pt>
                <c:pt idx="87">
                  <c:v>1.0225</c:v>
                </c:pt>
                <c:pt idx="88">
                  <c:v>1.0227</c:v>
                </c:pt>
                <c:pt idx="89">
                  <c:v>1.023</c:v>
                </c:pt>
                <c:pt idx="90">
                  <c:v>1.0235</c:v>
                </c:pt>
                <c:pt idx="91">
                  <c:v>1.0237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-9.83477576711467e-5</c:v>
                </c:pt>
                <c:pt idx="4">
                  <c:v>-9.83477576711467e-5</c:v>
                </c:pt>
                <c:pt idx="5">
                  <c:v>-9.83477576711467e-5</c:v>
                </c:pt>
                <c:pt idx="6">
                  <c:v>-9.83477576711467e-5</c:v>
                </c:pt>
                <c:pt idx="7">
                  <c:v>-9.83477576711467e-5</c:v>
                </c:pt>
                <c:pt idx="8">
                  <c:v>-9.83477576711467e-5</c:v>
                </c:pt>
                <c:pt idx="9">
                  <c:v>0.00236034618410708</c:v>
                </c:pt>
                <c:pt idx="10">
                  <c:v>0.00255704169944937</c:v>
                </c:pt>
                <c:pt idx="11">
                  <c:v>0.0028520849724627</c:v>
                </c:pt>
                <c:pt idx="12">
                  <c:v>0.00314712824547603</c:v>
                </c:pt>
                <c:pt idx="13">
                  <c:v>0.00314712824547603</c:v>
                </c:pt>
                <c:pt idx="14">
                  <c:v>0.00314712824547603</c:v>
                </c:pt>
                <c:pt idx="15">
                  <c:v>0.00314712824547603</c:v>
                </c:pt>
                <c:pt idx="16">
                  <c:v>0.00383556254917394</c:v>
                </c:pt>
                <c:pt idx="17">
                  <c:v>0.00413060582218727</c:v>
                </c:pt>
                <c:pt idx="18">
                  <c:v>0.00442564909520082</c:v>
                </c:pt>
                <c:pt idx="19">
                  <c:v>0.00403225806451601</c:v>
                </c:pt>
                <c:pt idx="20">
                  <c:v>0.00413060582218727</c:v>
                </c:pt>
                <c:pt idx="21">
                  <c:v>0.00413060582218727</c:v>
                </c:pt>
                <c:pt idx="22">
                  <c:v>0.00413060582218727</c:v>
                </c:pt>
                <c:pt idx="23">
                  <c:v>0.00472069236821415</c:v>
                </c:pt>
                <c:pt idx="24">
                  <c:v>0.00472069236821415</c:v>
                </c:pt>
                <c:pt idx="25">
                  <c:v>0.00481904012588519</c:v>
                </c:pt>
                <c:pt idx="26">
                  <c:v>0.00511408339889852</c:v>
                </c:pt>
                <c:pt idx="27">
                  <c:v>0.00531077891424081</c:v>
                </c:pt>
                <c:pt idx="28">
                  <c:v>0.00531077891424081</c:v>
                </c:pt>
                <c:pt idx="29">
                  <c:v>0.00521243115656977</c:v>
                </c:pt>
                <c:pt idx="30">
                  <c:v>0.00599921321793873</c:v>
                </c:pt>
                <c:pt idx="31">
                  <c:v>0.00629425649095228</c:v>
                </c:pt>
                <c:pt idx="32">
                  <c:v>0.00639260424862331</c:v>
                </c:pt>
                <c:pt idx="33">
                  <c:v>0.00668764752163664</c:v>
                </c:pt>
                <c:pt idx="34">
                  <c:v>0.00668764752163664</c:v>
                </c:pt>
                <c:pt idx="35">
                  <c:v>0.00668764752163664</c:v>
                </c:pt>
                <c:pt idx="36">
                  <c:v>0.00668764752163664</c:v>
                </c:pt>
                <c:pt idx="37">
                  <c:v>0.00717938630999226</c:v>
                </c:pt>
                <c:pt idx="38">
                  <c:v>0.0072777340676633</c:v>
                </c:pt>
                <c:pt idx="39">
                  <c:v>0.0072777340676633</c:v>
                </c:pt>
                <c:pt idx="40">
                  <c:v>0.0072777340676633</c:v>
                </c:pt>
                <c:pt idx="41">
                  <c:v>0.00717938630999226</c:v>
                </c:pt>
                <c:pt idx="42">
                  <c:v>0.00717938630999226</c:v>
                </c:pt>
                <c:pt idx="43">
                  <c:v>0.00717938630999226</c:v>
                </c:pt>
                <c:pt idx="44">
                  <c:v>0.00678599527930768</c:v>
                </c:pt>
                <c:pt idx="45">
                  <c:v>0.0061959087332808</c:v>
                </c:pt>
                <c:pt idx="46">
                  <c:v>0.00540912667191185</c:v>
                </c:pt>
                <c:pt idx="47">
                  <c:v>0.00511408339889852</c:v>
                </c:pt>
                <c:pt idx="48">
                  <c:v>0.00491738788355645</c:v>
                </c:pt>
                <c:pt idx="49">
                  <c:v>0.00491738788355645</c:v>
                </c:pt>
                <c:pt idx="50">
                  <c:v>0.00481904012588519</c:v>
                </c:pt>
                <c:pt idx="51">
                  <c:v>0.00452399685287186</c:v>
                </c:pt>
                <c:pt idx="52">
                  <c:v>0.00442564909520082</c:v>
                </c:pt>
                <c:pt idx="53">
                  <c:v>0.00442564909520082</c:v>
                </c:pt>
                <c:pt idx="54">
                  <c:v>0.00462234461054312</c:v>
                </c:pt>
                <c:pt idx="55">
                  <c:v>0.00491738788355645</c:v>
                </c:pt>
                <c:pt idx="56">
                  <c:v>0.00481904012588519</c:v>
                </c:pt>
                <c:pt idx="57">
                  <c:v>0.00481904012588519</c:v>
                </c:pt>
                <c:pt idx="58">
                  <c:v>0.00511408339889852</c:v>
                </c:pt>
                <c:pt idx="59">
                  <c:v>0.00452399685287186</c:v>
                </c:pt>
                <c:pt idx="60">
                  <c:v>0.00432730133752979</c:v>
                </c:pt>
                <c:pt idx="61">
                  <c:v>0.00403225806451601</c:v>
                </c:pt>
                <c:pt idx="62">
                  <c:v>0.00403225806451601</c:v>
                </c:pt>
                <c:pt idx="63">
                  <c:v>0.00403225806451601</c:v>
                </c:pt>
                <c:pt idx="64">
                  <c:v>0.00403225806451601</c:v>
                </c:pt>
                <c:pt idx="65">
                  <c:v>0.00432730133752979</c:v>
                </c:pt>
                <c:pt idx="66">
                  <c:v>0.00393391030684498</c:v>
                </c:pt>
                <c:pt idx="67">
                  <c:v>0.00363886703383165</c:v>
                </c:pt>
                <c:pt idx="68">
                  <c:v>0.00344217151848936</c:v>
                </c:pt>
                <c:pt idx="69">
                  <c:v>0.00334382376081832</c:v>
                </c:pt>
                <c:pt idx="70">
                  <c:v>0.00324547600314729</c:v>
                </c:pt>
                <c:pt idx="71">
                  <c:v>0.00324547600314729</c:v>
                </c:pt>
                <c:pt idx="72">
                  <c:v>0.00344217151848936</c:v>
                </c:pt>
                <c:pt idx="73">
                  <c:v>0.0017702596380802</c:v>
                </c:pt>
                <c:pt idx="74">
                  <c:v>0.00157356412273812</c:v>
                </c:pt>
                <c:pt idx="75">
                  <c:v>0.00206530291109353</c:v>
                </c:pt>
                <c:pt idx="76">
                  <c:v>0.00186860739575145</c:v>
                </c:pt>
                <c:pt idx="77">
                  <c:v>0.00186860739575145</c:v>
                </c:pt>
                <c:pt idx="78">
                  <c:v>0.00186860739575145</c:v>
                </c:pt>
                <c:pt idx="79">
                  <c:v>0.00236034618410708</c:v>
                </c:pt>
                <c:pt idx="80">
                  <c:v>0.00255704169944937</c:v>
                </c:pt>
                <c:pt idx="81">
                  <c:v>0.00265538945712063</c:v>
                </c:pt>
                <c:pt idx="82">
                  <c:v>0.00295043273013396</c:v>
                </c:pt>
                <c:pt idx="83">
                  <c:v>0.00344217151848936</c:v>
                </c:pt>
                <c:pt idx="84">
                  <c:v>0.00344217151848936</c:v>
                </c:pt>
                <c:pt idx="85">
                  <c:v>0.00344217151848936</c:v>
                </c:pt>
                <c:pt idx="86">
                  <c:v>0.00560582218725414</c:v>
                </c:pt>
                <c:pt idx="87">
                  <c:v>0.00560582218725414</c:v>
                </c:pt>
                <c:pt idx="88">
                  <c:v>0.00580251770259643</c:v>
                </c:pt>
                <c:pt idx="89">
                  <c:v>0.00609756097560976</c:v>
                </c:pt>
                <c:pt idx="90">
                  <c:v>0.00658929976396561</c:v>
                </c:pt>
                <c:pt idx="91">
                  <c:v>0.00678599527930768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2023-01-17T06:04:57Z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