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57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1年57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50,000,000.00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户名：工商银行贵阳农商银行超值宝１年５７期理财产品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账号：3602003829200455924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-62,487.53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789,785.19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51,088,003.67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1.57</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2.18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1.96</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w:t>
      </w:r>
      <w:r>
        <w:rPr>
          <w:rFonts w:hint="eastAsia" w:ascii="仿宋" w:hAnsi="仿宋" w:eastAsia="仿宋"/>
          <w:color w:val="000000"/>
          <w:szCs w:val="21"/>
          <w:lang w:val="en-US" w:eastAsia="zh-CN"/>
        </w:rPr>
        <w:t>0218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51,185,344.82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51,185,344.82</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eastAsia="zh-CN"/>
              </w:rPr>
            </w:pPr>
            <w:r>
              <w:rPr>
                <w:rFonts w:hint="eastAsia" w:ascii="仿宋" w:hAnsi="仿宋" w:eastAsia="仿宋"/>
                <w:szCs w:val="21"/>
              </w:rPr>
              <w:t>51,185,344.82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486.54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51,185,831.36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3,075,402,794.51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29,473,987.74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312,638,027.64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3,403,908,078.56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16铜旅01</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134,008,980.00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20铜开01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132,842,300.00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20南明01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115,090,500.00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19安投02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113,902,500.00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19遵物01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112,188,050.00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19安顺02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109,978,900.00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20铜旅01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102,137,000.00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20六民债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100,013,700.00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20贵产01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99,833,800.00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S20盘旅</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99,264,500.00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1,119,260,230.00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val="en-US" w:eastAsia="zh-CN"/>
        </w:rPr>
      </w:pPr>
      <w:r>
        <w:t>查阅方式网站：http://www.gynsh.com咨询电话：0851-</w:t>
      </w:r>
      <w:r>
        <w:rPr>
          <w:rFonts w:hint="eastAsia"/>
          <w:lang w:val="en-US" w:eastAsia="zh-CN"/>
        </w:rPr>
        <w:t>88115057</w:t>
      </w: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YXrUSpXZK3EFB0xMDHgBmXrediA=" w:salt="zqBWV0dD3Sx5pAf0B0CYx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D901766"/>
    <w:rsid w:val="119D38F4"/>
    <w:rsid w:val="11F52987"/>
    <w:rsid w:val="12DA60B7"/>
    <w:rsid w:val="1322763E"/>
    <w:rsid w:val="153D2966"/>
    <w:rsid w:val="17E41503"/>
    <w:rsid w:val="2F4671E3"/>
    <w:rsid w:val="33C40040"/>
    <w:rsid w:val="342153CB"/>
    <w:rsid w:val="34296D79"/>
    <w:rsid w:val="38D97024"/>
    <w:rsid w:val="38E926E9"/>
    <w:rsid w:val="4264087B"/>
    <w:rsid w:val="43F3566A"/>
    <w:rsid w:val="44FC1717"/>
    <w:rsid w:val="457A406E"/>
    <w:rsid w:val="46CD3A39"/>
    <w:rsid w:val="48E8631C"/>
    <w:rsid w:val="49D806A7"/>
    <w:rsid w:val="4D870C30"/>
    <w:rsid w:val="4E535908"/>
    <w:rsid w:val="51366883"/>
    <w:rsid w:val="51A03B59"/>
    <w:rsid w:val="57B47E4D"/>
    <w:rsid w:val="5E660FCE"/>
    <w:rsid w:val="62446D78"/>
    <w:rsid w:val="705B15C4"/>
    <w:rsid w:val="73083B4A"/>
    <w:rsid w:val="73181AE2"/>
    <w:rsid w:val="737F3265"/>
    <w:rsid w:val="757F3635"/>
    <w:rsid w:val="783A36A4"/>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1&#24180;57&#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1&#24180;57&#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'[组合净值信息表_穗贵阳农商行1年57期-外包EDD_20210101_20210331.xls]Sheet1'!$A$1:$A$90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'[组合净值信息表_穗贵阳农商行1年57期-外包EDD_20210101_20210331.xls]Sheet1'!$B$1:$B$90</c:f>
              <c:numCache>
                <c:formatCode>General</c:formatCode>
                <c:ptCount val="90"/>
                <c:pt idx="0">
                  <c:v>1.006</c:v>
                </c:pt>
                <c:pt idx="1">
                  <c:v>1.0059</c:v>
                </c:pt>
                <c:pt idx="2">
                  <c:v>1.0059</c:v>
                </c:pt>
                <c:pt idx="3">
                  <c:v>1.0066</c:v>
                </c:pt>
                <c:pt idx="4">
                  <c:v>1.0068</c:v>
                </c:pt>
                <c:pt idx="5">
                  <c:v>1.007</c:v>
                </c:pt>
                <c:pt idx="6">
                  <c:v>1.0071</c:v>
                </c:pt>
                <c:pt idx="7">
                  <c:v>1.0073</c:v>
                </c:pt>
                <c:pt idx="8">
                  <c:v>1.0073</c:v>
                </c:pt>
                <c:pt idx="9">
                  <c:v>1.0073</c:v>
                </c:pt>
                <c:pt idx="10">
                  <c:v>1.0079</c:v>
                </c:pt>
                <c:pt idx="11">
                  <c:v>1.0081</c:v>
                </c:pt>
                <c:pt idx="12">
                  <c:v>1.0082</c:v>
                </c:pt>
                <c:pt idx="13">
                  <c:v>1.0084</c:v>
                </c:pt>
                <c:pt idx="14">
                  <c:v>1.0086</c:v>
                </c:pt>
                <c:pt idx="15">
                  <c:v>1.0086</c:v>
                </c:pt>
                <c:pt idx="16">
                  <c:v>1.0086</c:v>
                </c:pt>
                <c:pt idx="17">
                  <c:v>1.0091</c:v>
                </c:pt>
                <c:pt idx="18">
                  <c:v>1.0093</c:v>
                </c:pt>
                <c:pt idx="19">
                  <c:v>1.0095</c:v>
                </c:pt>
                <c:pt idx="20">
                  <c:v>1.0097</c:v>
                </c:pt>
                <c:pt idx="21">
                  <c:v>1.0099</c:v>
                </c:pt>
                <c:pt idx="22">
                  <c:v>1.0099</c:v>
                </c:pt>
                <c:pt idx="23">
                  <c:v>1.0098</c:v>
                </c:pt>
                <c:pt idx="24">
                  <c:v>1.0104</c:v>
                </c:pt>
                <c:pt idx="25">
                  <c:v>1.0106</c:v>
                </c:pt>
                <c:pt idx="26">
                  <c:v>1.0108</c:v>
                </c:pt>
                <c:pt idx="27">
                  <c:v>1.011</c:v>
                </c:pt>
                <c:pt idx="28">
                  <c:v>1.0111</c:v>
                </c:pt>
                <c:pt idx="29">
                  <c:v>1.0111</c:v>
                </c:pt>
                <c:pt idx="30">
                  <c:v>1.0115</c:v>
                </c:pt>
                <c:pt idx="31">
                  <c:v>1.0117</c:v>
                </c:pt>
                <c:pt idx="32">
                  <c:v>1.0119</c:v>
                </c:pt>
                <c:pt idx="33">
                  <c:v>1.0121</c:v>
                </c:pt>
                <c:pt idx="34">
                  <c:v>1.0122</c:v>
                </c:pt>
                <c:pt idx="35">
                  <c:v>1.0124</c:v>
                </c:pt>
                <c:pt idx="36">
                  <c:v>1.0124</c:v>
                </c:pt>
                <c:pt idx="37">
                  <c:v>1.0128</c:v>
                </c:pt>
                <c:pt idx="38">
                  <c:v>1.013</c:v>
                </c:pt>
                <c:pt idx="39">
                  <c:v>1.0131</c:v>
                </c:pt>
                <c:pt idx="40">
                  <c:v>1.0132</c:v>
                </c:pt>
                <c:pt idx="41">
                  <c:v>1.0132</c:v>
                </c:pt>
                <c:pt idx="42">
                  <c:v>1.0132</c:v>
                </c:pt>
                <c:pt idx="43">
                  <c:v>1.0132</c:v>
                </c:pt>
                <c:pt idx="44">
                  <c:v>1.0132</c:v>
                </c:pt>
                <c:pt idx="45">
                  <c:v>1.0132</c:v>
                </c:pt>
                <c:pt idx="46">
                  <c:v>1.0132</c:v>
                </c:pt>
                <c:pt idx="47">
                  <c:v>1.0131</c:v>
                </c:pt>
                <c:pt idx="48">
                  <c:v>1.0146</c:v>
                </c:pt>
                <c:pt idx="49">
                  <c:v>1.0148</c:v>
                </c:pt>
                <c:pt idx="50">
                  <c:v>1.0148</c:v>
                </c:pt>
                <c:pt idx="51">
                  <c:v>1.0147</c:v>
                </c:pt>
                <c:pt idx="52">
                  <c:v>1.0153</c:v>
                </c:pt>
                <c:pt idx="53">
                  <c:v>1.0155</c:v>
                </c:pt>
                <c:pt idx="54">
                  <c:v>1.0157</c:v>
                </c:pt>
                <c:pt idx="55">
                  <c:v>1.0159</c:v>
                </c:pt>
                <c:pt idx="56">
                  <c:v>1.016</c:v>
                </c:pt>
                <c:pt idx="57">
                  <c:v>1.0159</c:v>
                </c:pt>
                <c:pt idx="58">
                  <c:v>1.0163</c:v>
                </c:pt>
                <c:pt idx="59">
                  <c:v>1.0165</c:v>
                </c:pt>
                <c:pt idx="60">
                  <c:v>1.0167</c:v>
                </c:pt>
                <c:pt idx="61">
                  <c:v>1.0169</c:v>
                </c:pt>
                <c:pt idx="62">
                  <c:v>1.017</c:v>
                </c:pt>
                <c:pt idx="63">
                  <c:v>1.0172</c:v>
                </c:pt>
                <c:pt idx="64">
                  <c:v>1.0172</c:v>
                </c:pt>
                <c:pt idx="65">
                  <c:v>1.0172</c:v>
                </c:pt>
                <c:pt idx="66">
                  <c:v>1.0178</c:v>
                </c:pt>
                <c:pt idx="67">
                  <c:v>1.018</c:v>
                </c:pt>
                <c:pt idx="68">
                  <c:v>1.0181</c:v>
                </c:pt>
                <c:pt idx="69">
                  <c:v>1.0183</c:v>
                </c:pt>
                <c:pt idx="70">
                  <c:v>1.0185</c:v>
                </c:pt>
                <c:pt idx="71">
                  <c:v>1.0185</c:v>
                </c:pt>
                <c:pt idx="72">
                  <c:v>1.0185</c:v>
                </c:pt>
                <c:pt idx="73">
                  <c:v>1.019</c:v>
                </c:pt>
                <c:pt idx="74">
                  <c:v>1.0192</c:v>
                </c:pt>
                <c:pt idx="75">
                  <c:v>1.0194</c:v>
                </c:pt>
                <c:pt idx="76">
                  <c:v>1.0196</c:v>
                </c:pt>
                <c:pt idx="77">
                  <c:v>1.0198</c:v>
                </c:pt>
                <c:pt idx="78">
                  <c:v>1.0198</c:v>
                </c:pt>
                <c:pt idx="79">
                  <c:v>1.0197</c:v>
                </c:pt>
                <c:pt idx="80">
                  <c:v>1.0202</c:v>
                </c:pt>
                <c:pt idx="81">
                  <c:v>1.0204</c:v>
                </c:pt>
                <c:pt idx="82">
                  <c:v>1.0206</c:v>
                </c:pt>
                <c:pt idx="83">
                  <c:v>1.0208</c:v>
                </c:pt>
                <c:pt idx="84">
                  <c:v>1.0209</c:v>
                </c:pt>
                <c:pt idx="85">
                  <c:v>1.0209</c:v>
                </c:pt>
                <c:pt idx="86">
                  <c:v>1.0209</c:v>
                </c:pt>
                <c:pt idx="87">
                  <c:v>1.0214</c:v>
                </c:pt>
                <c:pt idx="88">
                  <c:v>1.0216</c:v>
                </c:pt>
                <c:pt idx="89">
                  <c:v>1.0218</c:v>
                </c:pt>
              </c:numCache>
            </c:numRef>
          </c:val>
          <c:smooth val="0"/>
        </c:ser>
        <c:dLbls>
          <c:showLegendKey val="0"/>
          <c:showVal val="0"/>
          <c:showCatName val="0"/>
          <c:showSerName val="0"/>
          <c:showPercent val="0"/>
          <c:showBubbleSize val="0"/>
        </c:dLbls>
        <c:marker val="0"/>
        <c:smooth val="0"/>
        <c:axId val="12408570"/>
        <c:axId val="498002516"/>
      </c:lineChart>
      <c:dateAx>
        <c:axId val="1240857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002516"/>
        <c:crosses val="autoZero"/>
        <c:auto val="1"/>
        <c:lblOffset val="100"/>
        <c:baseTimeUnit val="days"/>
      </c:dateAx>
      <c:valAx>
        <c:axId val="4980025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0857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'[组合净值信息表_穗贵阳农商行1年57期-外包EDD_20210101_20210331.xls]Sheet1'!$A$1:$A$90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'[组合净值信息表_穗贵阳农商行1年57期-外包EDD_20210101_20210331.xls]Sheet1'!$C$1:$C$90</c:f>
              <c:numCache>
                <c:formatCode>0.00%</c:formatCode>
                <c:ptCount val="90"/>
                <c:pt idx="0">
                  <c:v>0</c:v>
                </c:pt>
                <c:pt idx="1">
                  <c:v>-9.94035785287783e-5</c:v>
                </c:pt>
                <c:pt idx="2">
                  <c:v>-9.94035785287783e-5</c:v>
                </c:pt>
                <c:pt idx="3">
                  <c:v>0.000596421471172892</c:v>
                </c:pt>
                <c:pt idx="4">
                  <c:v>0.000795228628230449</c:v>
                </c:pt>
                <c:pt idx="5">
                  <c:v>0.000994035785288228</c:v>
                </c:pt>
                <c:pt idx="6">
                  <c:v>0.00109343936381712</c:v>
                </c:pt>
                <c:pt idx="7">
                  <c:v>0.0012922465208749</c:v>
                </c:pt>
                <c:pt idx="8">
                  <c:v>0.0012922465208749</c:v>
                </c:pt>
                <c:pt idx="9">
                  <c:v>0.0012922465208749</c:v>
                </c:pt>
                <c:pt idx="10">
                  <c:v>0.00188866799204779</c:v>
                </c:pt>
                <c:pt idx="11">
                  <c:v>0.00208747514910534</c:v>
                </c:pt>
                <c:pt idx="12">
                  <c:v>0.00218687872763423</c:v>
                </c:pt>
                <c:pt idx="13">
                  <c:v>0.00238568588469179</c:v>
                </c:pt>
                <c:pt idx="14">
                  <c:v>0.00258449304174935</c:v>
                </c:pt>
                <c:pt idx="15">
                  <c:v>0.00258449304174935</c:v>
                </c:pt>
                <c:pt idx="16">
                  <c:v>0.00258449304174935</c:v>
                </c:pt>
                <c:pt idx="17">
                  <c:v>0.00308151093439379</c:v>
                </c:pt>
                <c:pt idx="18">
                  <c:v>0.00328031809145135</c:v>
                </c:pt>
                <c:pt idx="19">
                  <c:v>0.00347912524850891</c:v>
                </c:pt>
                <c:pt idx="20">
                  <c:v>0.00367793240556669</c:v>
                </c:pt>
                <c:pt idx="21">
                  <c:v>0.00387673956262424</c:v>
                </c:pt>
                <c:pt idx="22">
                  <c:v>0.00387673956262424</c:v>
                </c:pt>
                <c:pt idx="23">
                  <c:v>0.00377733598409535</c:v>
                </c:pt>
                <c:pt idx="24">
                  <c:v>0.00437375745526825</c:v>
                </c:pt>
                <c:pt idx="25">
                  <c:v>0.00457256461232602</c:v>
                </c:pt>
                <c:pt idx="26">
                  <c:v>0.00477137176938358</c:v>
                </c:pt>
                <c:pt idx="27">
                  <c:v>0.00497017892644114</c:v>
                </c:pt>
                <c:pt idx="28">
                  <c:v>0.00506958250497025</c:v>
                </c:pt>
                <c:pt idx="29">
                  <c:v>0.00506958250497025</c:v>
                </c:pt>
                <c:pt idx="30">
                  <c:v>0.00546719681908558</c:v>
                </c:pt>
                <c:pt idx="31">
                  <c:v>0.00566600397614314</c:v>
                </c:pt>
                <c:pt idx="32">
                  <c:v>0.00586481113320092</c:v>
                </c:pt>
                <c:pt idx="33">
                  <c:v>0.00606361829025848</c:v>
                </c:pt>
                <c:pt idx="34">
                  <c:v>0.00616302186878737</c:v>
                </c:pt>
                <c:pt idx="35">
                  <c:v>0.00636182902584492</c:v>
                </c:pt>
                <c:pt idx="36">
                  <c:v>0.00636182902584492</c:v>
                </c:pt>
                <c:pt idx="37">
                  <c:v>0.00675944333996026</c:v>
                </c:pt>
                <c:pt idx="38">
                  <c:v>0.00695825049701781</c:v>
                </c:pt>
                <c:pt idx="39">
                  <c:v>0.0070576540755467</c:v>
                </c:pt>
                <c:pt idx="40">
                  <c:v>0.00715705765407559</c:v>
                </c:pt>
                <c:pt idx="41">
                  <c:v>0.00715705765407559</c:v>
                </c:pt>
                <c:pt idx="42">
                  <c:v>0.00715705765407559</c:v>
                </c:pt>
                <c:pt idx="43">
                  <c:v>0.00715705765407559</c:v>
                </c:pt>
                <c:pt idx="44">
                  <c:v>0.00715705765407559</c:v>
                </c:pt>
                <c:pt idx="45">
                  <c:v>0.00715705765407559</c:v>
                </c:pt>
                <c:pt idx="46">
                  <c:v>0.00715705765407559</c:v>
                </c:pt>
                <c:pt idx="47">
                  <c:v>0.0070576540755467</c:v>
                </c:pt>
                <c:pt idx="48">
                  <c:v>0.00854870775347916</c:v>
                </c:pt>
                <c:pt idx="49">
                  <c:v>0.00874751491053671</c:v>
                </c:pt>
                <c:pt idx="50">
                  <c:v>0.00874751491053671</c:v>
                </c:pt>
                <c:pt idx="51">
                  <c:v>0.00864811133200782</c:v>
                </c:pt>
                <c:pt idx="52">
                  <c:v>0.00924453280318094</c:v>
                </c:pt>
                <c:pt idx="53">
                  <c:v>0.00944333996023872</c:v>
                </c:pt>
                <c:pt idx="54">
                  <c:v>0.00964214711729627</c:v>
                </c:pt>
                <c:pt idx="55">
                  <c:v>0.00984095427435383</c:v>
                </c:pt>
                <c:pt idx="56">
                  <c:v>0.00994035785288272</c:v>
                </c:pt>
                <c:pt idx="57">
                  <c:v>0.00984095427435383</c:v>
                </c:pt>
                <c:pt idx="58">
                  <c:v>0.0102385685884692</c:v>
                </c:pt>
                <c:pt idx="59">
                  <c:v>0.0104373757455267</c:v>
                </c:pt>
                <c:pt idx="60">
                  <c:v>0.0106361829025845</c:v>
                </c:pt>
                <c:pt idx="61">
                  <c:v>0.0108349900596421</c:v>
                </c:pt>
                <c:pt idx="62">
                  <c:v>0.0109343936381709</c:v>
                </c:pt>
                <c:pt idx="63">
                  <c:v>0.0111332007952287</c:v>
                </c:pt>
                <c:pt idx="64">
                  <c:v>0.0111332007952287</c:v>
                </c:pt>
                <c:pt idx="65">
                  <c:v>0.0111332007952287</c:v>
                </c:pt>
                <c:pt idx="66">
                  <c:v>0.0117296222664016</c:v>
                </c:pt>
                <c:pt idx="67">
                  <c:v>0.0119284294234592</c:v>
                </c:pt>
                <c:pt idx="68">
                  <c:v>0.0120278330019881</c:v>
                </c:pt>
                <c:pt idx="69">
                  <c:v>0.0122266401590456</c:v>
                </c:pt>
                <c:pt idx="70">
                  <c:v>0.0124254473161034</c:v>
                </c:pt>
                <c:pt idx="71">
                  <c:v>0.0124254473161034</c:v>
                </c:pt>
                <c:pt idx="72">
                  <c:v>0.0124254473161034</c:v>
                </c:pt>
                <c:pt idx="73">
                  <c:v>0.0129224652087474</c:v>
                </c:pt>
                <c:pt idx="74">
                  <c:v>0.0131212723658052</c:v>
                </c:pt>
                <c:pt idx="75">
                  <c:v>0.013320079522863</c:v>
                </c:pt>
                <c:pt idx="76">
                  <c:v>0.0135188866799205</c:v>
                </c:pt>
                <c:pt idx="77">
                  <c:v>0.0137176938369781</c:v>
                </c:pt>
                <c:pt idx="78">
                  <c:v>0.0137176938369781</c:v>
                </c:pt>
                <c:pt idx="79">
                  <c:v>0.0136182902584494</c:v>
                </c:pt>
                <c:pt idx="80">
                  <c:v>0.0141153081510934</c:v>
                </c:pt>
                <c:pt idx="81">
                  <c:v>0.014314115308151</c:v>
                </c:pt>
                <c:pt idx="82">
                  <c:v>0.0145129224652087</c:v>
                </c:pt>
                <c:pt idx="83">
                  <c:v>0.0147117296222663</c:v>
                </c:pt>
                <c:pt idx="84">
                  <c:v>0.0148111332007952</c:v>
                </c:pt>
                <c:pt idx="85">
                  <c:v>0.0148111332007952</c:v>
                </c:pt>
                <c:pt idx="86">
                  <c:v>0.0148111332007952</c:v>
                </c:pt>
                <c:pt idx="87">
                  <c:v>0.0153081510934394</c:v>
                </c:pt>
                <c:pt idx="88">
                  <c:v>0.015506958250497</c:v>
                </c:pt>
                <c:pt idx="89">
                  <c:v>0.0157057654075548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'[组合净值信息表_穗贵阳农商行1年57期-外包EDD_20210101_20210331.xls]Sheet1'!$A$1:$A$90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'[组合净值信息表_穗贵阳农商行1年57期-外包EDD_20210101_20210331.xls]Sheet1'!$E$1:$E$90</c:f>
              <c:numCache>
                <c:formatCode>0.00%</c:formatCode>
                <c:ptCount val="90"/>
                <c:pt idx="0">
                  <c:v>0.000153424657534247</c:v>
                </c:pt>
                <c:pt idx="1">
                  <c:v>0.000306849315068493</c:v>
                </c:pt>
                <c:pt idx="2">
                  <c:v>0.00046027397260274</c:v>
                </c:pt>
                <c:pt idx="3">
                  <c:v>0.000613698630136986</c:v>
                </c:pt>
                <c:pt idx="4">
                  <c:v>0.000767123287671233</c:v>
                </c:pt>
                <c:pt idx="5">
                  <c:v>0.000920547945205479</c:v>
                </c:pt>
                <c:pt idx="6">
                  <c:v>0.00107397260273973</c:v>
                </c:pt>
                <c:pt idx="7">
                  <c:v>0.00122739726027397</c:v>
                </c:pt>
                <c:pt idx="8">
                  <c:v>0.00138082191780822</c:v>
                </c:pt>
                <c:pt idx="9">
                  <c:v>0.00153424657534247</c:v>
                </c:pt>
                <c:pt idx="10">
                  <c:v>0.00168767123287671</c:v>
                </c:pt>
                <c:pt idx="11">
                  <c:v>0.00184109589041096</c:v>
                </c:pt>
                <c:pt idx="12">
                  <c:v>0.00199452054794521</c:v>
                </c:pt>
                <c:pt idx="13">
                  <c:v>0.00214794520547945</c:v>
                </c:pt>
                <c:pt idx="14">
                  <c:v>0.0023013698630137</c:v>
                </c:pt>
                <c:pt idx="15">
                  <c:v>0.00245479452054794</c:v>
                </c:pt>
                <c:pt idx="16">
                  <c:v>0.00260821917808219</c:v>
                </c:pt>
                <c:pt idx="17">
                  <c:v>0.00276164383561644</c:v>
                </c:pt>
                <c:pt idx="18">
                  <c:v>0.00291506849315068</c:v>
                </c:pt>
                <c:pt idx="19">
                  <c:v>0.00306849315068493</c:v>
                </c:pt>
                <c:pt idx="20">
                  <c:v>0.00322191780821918</c:v>
                </c:pt>
                <c:pt idx="21">
                  <c:v>0.00337534246575342</c:v>
                </c:pt>
                <c:pt idx="22">
                  <c:v>0.00352876712328767</c:v>
                </c:pt>
                <c:pt idx="23">
                  <c:v>0.00368219178082192</c:v>
                </c:pt>
                <c:pt idx="24">
                  <c:v>0.00383561643835616</c:v>
                </c:pt>
                <c:pt idx="25">
                  <c:v>0.00398904109589041</c:v>
                </c:pt>
                <c:pt idx="26">
                  <c:v>0.00414246575342466</c:v>
                </c:pt>
                <c:pt idx="27">
                  <c:v>0.0042958904109589</c:v>
                </c:pt>
                <c:pt idx="28">
                  <c:v>0.00444931506849315</c:v>
                </c:pt>
                <c:pt idx="29">
                  <c:v>0.0046027397260274</c:v>
                </c:pt>
                <c:pt idx="30">
                  <c:v>0.00475616438356164</c:v>
                </c:pt>
                <c:pt idx="31">
                  <c:v>0.00490958904109589</c:v>
                </c:pt>
                <c:pt idx="32">
                  <c:v>0.00506301369863014</c:v>
                </c:pt>
                <c:pt idx="33">
                  <c:v>0.00521643835616438</c:v>
                </c:pt>
                <c:pt idx="34">
                  <c:v>0.00536986301369863</c:v>
                </c:pt>
                <c:pt idx="35">
                  <c:v>0.00552328767123288</c:v>
                </c:pt>
                <c:pt idx="36">
                  <c:v>0.00567671232876712</c:v>
                </c:pt>
                <c:pt idx="37">
                  <c:v>0.00583013698630137</c:v>
                </c:pt>
                <c:pt idx="38">
                  <c:v>0.00598356164383562</c:v>
                </c:pt>
                <c:pt idx="39">
                  <c:v>0.00613698630136986</c:v>
                </c:pt>
                <c:pt idx="40">
                  <c:v>0.00629041095890411</c:v>
                </c:pt>
                <c:pt idx="41">
                  <c:v>0.00644383561643836</c:v>
                </c:pt>
                <c:pt idx="42">
                  <c:v>0.0065972602739726</c:v>
                </c:pt>
                <c:pt idx="43">
                  <c:v>0.00675068493150685</c:v>
                </c:pt>
                <c:pt idx="44">
                  <c:v>0.00690410958904109</c:v>
                </c:pt>
                <c:pt idx="45">
                  <c:v>0.00705753424657534</c:v>
                </c:pt>
                <c:pt idx="46">
                  <c:v>0.00721095890410959</c:v>
                </c:pt>
                <c:pt idx="47">
                  <c:v>0.00736438356164383</c:v>
                </c:pt>
                <c:pt idx="48">
                  <c:v>0.00751780821917808</c:v>
                </c:pt>
                <c:pt idx="49">
                  <c:v>0.00767123287671233</c:v>
                </c:pt>
                <c:pt idx="50">
                  <c:v>0.00782465753424657</c:v>
                </c:pt>
                <c:pt idx="51">
                  <c:v>0.00797808219178082</c:v>
                </c:pt>
                <c:pt idx="52">
                  <c:v>0.00813150684931507</c:v>
                </c:pt>
                <c:pt idx="53">
                  <c:v>0.00828493150684931</c:v>
                </c:pt>
                <c:pt idx="54">
                  <c:v>0.00843835616438356</c:v>
                </c:pt>
                <c:pt idx="55">
                  <c:v>0.00859178082191781</c:v>
                </c:pt>
                <c:pt idx="56">
                  <c:v>0.00874520547945205</c:v>
                </c:pt>
                <c:pt idx="57">
                  <c:v>0.0088986301369863</c:v>
                </c:pt>
                <c:pt idx="58">
                  <c:v>0.00905205479452055</c:v>
                </c:pt>
                <c:pt idx="59">
                  <c:v>0.00920547945205479</c:v>
                </c:pt>
                <c:pt idx="60">
                  <c:v>0.00935890410958904</c:v>
                </c:pt>
                <c:pt idx="61">
                  <c:v>0.00951232876712329</c:v>
                </c:pt>
                <c:pt idx="62">
                  <c:v>0.00966575342465753</c:v>
                </c:pt>
                <c:pt idx="63">
                  <c:v>0.00981917808219178</c:v>
                </c:pt>
                <c:pt idx="64">
                  <c:v>0.00997260273972603</c:v>
                </c:pt>
                <c:pt idx="65">
                  <c:v>0.0101260273972603</c:v>
                </c:pt>
                <c:pt idx="66">
                  <c:v>0.0102794520547945</c:v>
                </c:pt>
                <c:pt idx="67">
                  <c:v>0.0104328767123288</c:v>
                </c:pt>
                <c:pt idx="68">
                  <c:v>0.010586301369863</c:v>
                </c:pt>
                <c:pt idx="69">
                  <c:v>0.0107397260273973</c:v>
                </c:pt>
                <c:pt idx="70">
                  <c:v>0.0108931506849315</c:v>
                </c:pt>
                <c:pt idx="71">
                  <c:v>0.0110465753424658</c:v>
                </c:pt>
                <c:pt idx="72">
                  <c:v>0.0112</c:v>
                </c:pt>
                <c:pt idx="73">
                  <c:v>0.0113534246575342</c:v>
                </c:pt>
                <c:pt idx="74">
                  <c:v>0.0115068493150685</c:v>
                </c:pt>
                <c:pt idx="75">
                  <c:v>0.0116602739726027</c:v>
                </c:pt>
                <c:pt idx="76">
                  <c:v>0.011813698630137</c:v>
                </c:pt>
                <c:pt idx="77">
                  <c:v>0.0119671232876712</c:v>
                </c:pt>
                <c:pt idx="78">
                  <c:v>0.0121205479452055</c:v>
                </c:pt>
                <c:pt idx="79">
                  <c:v>0.0122739726027397</c:v>
                </c:pt>
                <c:pt idx="80">
                  <c:v>0.012427397260274</c:v>
                </c:pt>
                <c:pt idx="81">
                  <c:v>0.0125808219178082</c:v>
                </c:pt>
                <c:pt idx="82">
                  <c:v>0.0127342465753425</c:v>
                </c:pt>
                <c:pt idx="83">
                  <c:v>0.0128876712328767</c:v>
                </c:pt>
                <c:pt idx="84">
                  <c:v>0.013041095890411</c:v>
                </c:pt>
                <c:pt idx="85">
                  <c:v>0.0131945205479452</c:v>
                </c:pt>
                <c:pt idx="86">
                  <c:v>0.0133479452054794</c:v>
                </c:pt>
                <c:pt idx="87">
                  <c:v>0.0135013698630137</c:v>
                </c:pt>
                <c:pt idx="88">
                  <c:v>0.0136547945205479</c:v>
                </c:pt>
                <c:pt idx="89">
                  <c:v>0.0138082191780822</c:v>
                </c:pt>
              </c:numCache>
            </c:numRef>
          </c:val>
          <c:smooth val="0"/>
        </c:ser>
        <c:dLbls>
          <c:showLegendKey val="0"/>
          <c:showVal val="0"/>
          <c:showCatName val="0"/>
          <c:showSerName val="0"/>
          <c:showPercent val="0"/>
          <c:showBubbleSize val="0"/>
        </c:dLbls>
        <c:marker val="0"/>
        <c:smooth val="0"/>
        <c:axId val="239058158"/>
        <c:axId val="261256274"/>
      </c:lineChart>
      <c:dateAx>
        <c:axId val="23905815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1256274"/>
        <c:crosses val="autoZero"/>
        <c:auto val="1"/>
        <c:lblOffset val="100"/>
        <c:baseTimeUnit val="days"/>
      </c:dateAx>
      <c:valAx>
        <c:axId val="26125627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905815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2022-01-26T00:58:47Z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