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61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1年61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账号：3602003829200457728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-248,483.82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3,033,101.58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203,233,379.99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1.53</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0162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101,841,925.74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lang w:val="en-US" w:eastAsia="zh-CN"/>
              </w:rPr>
              <w:t>101,702,695.93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203,544,621.67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203,544,621.67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1,944.44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203,546,566.33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5,777,851,126.51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86.40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103,915,200.00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316,674,145.02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 xml:space="preserve">51,161,499.14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451,554,462.22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6,687,549,711.55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19佳源04</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250,515,200.00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20黔西南</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181,984,500.00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20遵资01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180,144,000.00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164,375,052.00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20筑工01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157,856,000.00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S19六民</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154,664,000.00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000008</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136,799,000.00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132,842,300.00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20遵投01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129,318,600.00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19贵合投资债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125,950,000.00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1,614,448,652.00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24.14</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4mqzeUUkXXuuO9mzsC/IMrDTJzw=" w:salt="aiEBTQUEx9e6Ks8avAP6i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A626B8A"/>
    <w:rsid w:val="0D901766"/>
    <w:rsid w:val="119D38F4"/>
    <w:rsid w:val="11F52987"/>
    <w:rsid w:val="12DA60B7"/>
    <w:rsid w:val="1322763E"/>
    <w:rsid w:val="13A3270E"/>
    <w:rsid w:val="153D2966"/>
    <w:rsid w:val="17E41503"/>
    <w:rsid w:val="2E77201B"/>
    <w:rsid w:val="2F4671E3"/>
    <w:rsid w:val="33C40040"/>
    <w:rsid w:val="342153CB"/>
    <w:rsid w:val="34296D79"/>
    <w:rsid w:val="38D97024"/>
    <w:rsid w:val="38E926E9"/>
    <w:rsid w:val="4264087B"/>
    <w:rsid w:val="42FF6865"/>
    <w:rsid w:val="43F3566A"/>
    <w:rsid w:val="44FC1717"/>
    <w:rsid w:val="457A406E"/>
    <w:rsid w:val="46CD3A39"/>
    <w:rsid w:val="48E8631C"/>
    <w:rsid w:val="49D806A7"/>
    <w:rsid w:val="4D870C30"/>
    <w:rsid w:val="51366883"/>
    <w:rsid w:val="51A03B59"/>
    <w:rsid w:val="57B47E4D"/>
    <w:rsid w:val="5E660FCE"/>
    <w:rsid w:val="62446D78"/>
    <w:rsid w:val="705B15C4"/>
    <w:rsid w:val="73083B4A"/>
    <w:rsid w:val="73181AE2"/>
    <w:rsid w:val="737F3265"/>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61&#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61&#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'[组合净值信息表_穗贵阳农商行1年61期-外包EDD_20210101_20210331.xls]Sheet1'!$A$1:$A$90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'[组合净值信息表_穗贵阳农商行1年61期-外包EDD_20210101_20210331.xls]Sheet1'!$B$1:$B$90</c:f>
              <c:numCache>
                <c:formatCode>General</c:formatCode>
                <c:ptCount val="90"/>
                <c:pt idx="0">
                  <c:v>1.001</c:v>
                </c:pt>
                <c:pt idx="1">
                  <c:v>1.001</c:v>
                </c:pt>
                <c:pt idx="2">
                  <c:v>1.001</c:v>
                </c:pt>
                <c:pt idx="3">
                  <c:v>1.0017</c:v>
                </c:pt>
                <c:pt idx="4">
                  <c:v>1.0019</c:v>
                </c:pt>
                <c:pt idx="5">
                  <c:v>1.0021</c:v>
                </c:pt>
                <c:pt idx="6">
                  <c:v>1.0024</c:v>
                </c:pt>
                <c:pt idx="7">
                  <c:v>1.0026</c:v>
                </c:pt>
                <c:pt idx="8">
                  <c:v>1.0026</c:v>
                </c:pt>
                <c:pt idx="9">
                  <c:v>1.0026</c:v>
                </c:pt>
                <c:pt idx="10">
                  <c:v>1.0033</c:v>
                </c:pt>
                <c:pt idx="11">
                  <c:v>1.0035</c:v>
                </c:pt>
                <c:pt idx="12">
                  <c:v>1.0038</c:v>
                </c:pt>
                <c:pt idx="13">
                  <c:v>1.004</c:v>
                </c:pt>
                <c:pt idx="14">
                  <c:v>1.0042</c:v>
                </c:pt>
                <c:pt idx="15">
                  <c:v>1.0042</c:v>
                </c:pt>
                <c:pt idx="16">
                  <c:v>1.0041</c:v>
                </c:pt>
                <c:pt idx="17">
                  <c:v>1.0046</c:v>
                </c:pt>
                <c:pt idx="18">
                  <c:v>1.0047</c:v>
                </c:pt>
                <c:pt idx="19">
                  <c:v>1.0045</c:v>
                </c:pt>
                <c:pt idx="20">
                  <c:v>1.0048</c:v>
                </c:pt>
                <c:pt idx="21">
                  <c:v>1.0049</c:v>
                </c:pt>
                <c:pt idx="22">
                  <c:v>1.0049</c:v>
                </c:pt>
                <c:pt idx="23">
                  <c:v>1.0049</c:v>
                </c:pt>
                <c:pt idx="24">
                  <c:v>1.005</c:v>
                </c:pt>
                <c:pt idx="25">
                  <c:v>1.0052</c:v>
                </c:pt>
                <c:pt idx="26">
                  <c:v>1.005</c:v>
                </c:pt>
                <c:pt idx="27">
                  <c:v>1.005</c:v>
                </c:pt>
                <c:pt idx="28">
                  <c:v>1.0048</c:v>
                </c:pt>
                <c:pt idx="29">
                  <c:v>1.0048</c:v>
                </c:pt>
                <c:pt idx="30">
                  <c:v>1.0052</c:v>
                </c:pt>
                <c:pt idx="31">
                  <c:v>1.0053</c:v>
                </c:pt>
                <c:pt idx="32">
                  <c:v>1.0057</c:v>
                </c:pt>
                <c:pt idx="33">
                  <c:v>1.0061</c:v>
                </c:pt>
                <c:pt idx="34">
                  <c:v>1.0061</c:v>
                </c:pt>
                <c:pt idx="35">
                  <c:v>1.0061</c:v>
                </c:pt>
                <c:pt idx="36">
                  <c:v>1.0061</c:v>
                </c:pt>
                <c:pt idx="37">
                  <c:v>1.0065</c:v>
                </c:pt>
                <c:pt idx="38">
                  <c:v>1.0066</c:v>
                </c:pt>
                <c:pt idx="39">
                  <c:v>1.0066</c:v>
                </c:pt>
                <c:pt idx="40">
                  <c:v>1.0066</c:v>
                </c:pt>
                <c:pt idx="41">
                  <c:v>1.0066</c:v>
                </c:pt>
                <c:pt idx="42">
                  <c:v>1.0066</c:v>
                </c:pt>
                <c:pt idx="43">
                  <c:v>1.0066</c:v>
                </c:pt>
                <c:pt idx="44">
                  <c:v>1.0066</c:v>
                </c:pt>
                <c:pt idx="45">
                  <c:v>1.0066</c:v>
                </c:pt>
                <c:pt idx="46">
                  <c:v>1.0065</c:v>
                </c:pt>
                <c:pt idx="47">
                  <c:v>1.0065</c:v>
                </c:pt>
                <c:pt idx="48">
                  <c:v>1.0079</c:v>
                </c:pt>
                <c:pt idx="49">
                  <c:v>1.008</c:v>
                </c:pt>
                <c:pt idx="50">
                  <c:v>1.008</c:v>
                </c:pt>
                <c:pt idx="51">
                  <c:v>1.008</c:v>
                </c:pt>
                <c:pt idx="52">
                  <c:v>1.0085</c:v>
                </c:pt>
                <c:pt idx="53">
                  <c:v>1.0086</c:v>
                </c:pt>
                <c:pt idx="54">
                  <c:v>1.0089</c:v>
                </c:pt>
                <c:pt idx="55">
                  <c:v>1.0091</c:v>
                </c:pt>
                <c:pt idx="56">
                  <c:v>1.0092</c:v>
                </c:pt>
                <c:pt idx="57">
                  <c:v>1.0092</c:v>
                </c:pt>
                <c:pt idx="58">
                  <c:v>1.0096</c:v>
                </c:pt>
                <c:pt idx="59">
                  <c:v>1.0098</c:v>
                </c:pt>
                <c:pt idx="60">
                  <c:v>1.01</c:v>
                </c:pt>
                <c:pt idx="61">
                  <c:v>1.0103</c:v>
                </c:pt>
                <c:pt idx="62">
                  <c:v>1.0105</c:v>
                </c:pt>
                <c:pt idx="63">
                  <c:v>1.0107</c:v>
                </c:pt>
                <c:pt idx="64">
                  <c:v>1.0107</c:v>
                </c:pt>
                <c:pt idx="65">
                  <c:v>1.0107</c:v>
                </c:pt>
                <c:pt idx="66">
                  <c:v>1.0113</c:v>
                </c:pt>
                <c:pt idx="67">
                  <c:v>1.0114</c:v>
                </c:pt>
                <c:pt idx="68">
                  <c:v>1.0116</c:v>
                </c:pt>
                <c:pt idx="69">
                  <c:v>1.0119</c:v>
                </c:pt>
                <c:pt idx="70">
                  <c:v>1.012</c:v>
                </c:pt>
                <c:pt idx="71">
                  <c:v>1.012</c:v>
                </c:pt>
                <c:pt idx="72">
                  <c:v>1.012</c:v>
                </c:pt>
                <c:pt idx="73">
                  <c:v>1.0127</c:v>
                </c:pt>
                <c:pt idx="74">
                  <c:v>1.0126</c:v>
                </c:pt>
                <c:pt idx="75">
                  <c:v>1.0127</c:v>
                </c:pt>
                <c:pt idx="76">
                  <c:v>1.0128</c:v>
                </c:pt>
                <c:pt idx="77">
                  <c:v>1.0131</c:v>
                </c:pt>
                <c:pt idx="78">
                  <c:v>1.0131</c:v>
                </c:pt>
                <c:pt idx="79">
                  <c:v>1.0131</c:v>
                </c:pt>
                <c:pt idx="80">
                  <c:v>1.0139</c:v>
                </c:pt>
                <c:pt idx="81">
                  <c:v>1.0141</c:v>
                </c:pt>
                <c:pt idx="82">
                  <c:v>1.0143</c:v>
                </c:pt>
                <c:pt idx="83">
                  <c:v>1.0145</c:v>
                </c:pt>
                <c:pt idx="84">
                  <c:v>1.015</c:v>
                </c:pt>
                <c:pt idx="85">
                  <c:v>1.015</c:v>
                </c:pt>
                <c:pt idx="86">
                  <c:v>1.015</c:v>
                </c:pt>
                <c:pt idx="87">
                  <c:v>1.0156</c:v>
                </c:pt>
                <c:pt idx="88">
                  <c:v>1.0158</c:v>
                </c:pt>
                <c:pt idx="89">
                  <c:v>1.0162</c:v>
                </c:pt>
              </c:numCache>
            </c:numRef>
          </c:val>
          <c:smooth val="0"/>
        </c:ser>
        <c:dLbls>
          <c:showLegendKey val="0"/>
          <c:showVal val="0"/>
          <c:showCatName val="0"/>
          <c:showSerName val="0"/>
          <c:showPercent val="0"/>
          <c:showBubbleSize val="0"/>
        </c:dLbls>
        <c:marker val="0"/>
        <c:smooth val="0"/>
        <c:axId val="528838227"/>
        <c:axId val="416765566"/>
      </c:lineChart>
      <c:dateAx>
        <c:axId val="52883822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765566"/>
        <c:crosses val="autoZero"/>
        <c:auto val="1"/>
        <c:lblOffset val="100"/>
        <c:baseTimeUnit val="days"/>
      </c:dateAx>
      <c:valAx>
        <c:axId val="4167655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8382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'[组合净值信息表_穗贵阳农商行1年61期-外包EDD_20210101_20210331.xls]Sheet1'!$A$1:$A$90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'[组合净值信息表_穗贵阳农商行1年61期-外包EDD_20210101_20210331.xls]Sheet1'!$C$1:$C$90</c:f>
              <c:numCache>
                <c:formatCode>0.00%</c:formatCode>
                <c:ptCount val="90"/>
                <c:pt idx="0">
                  <c:v>0</c:v>
                </c:pt>
                <c:pt idx="1">
                  <c:v>0</c:v>
                </c:pt>
                <c:pt idx="2">
                  <c:v>0</c:v>
                </c:pt>
                <c:pt idx="3">
                  <c:v>0.000699300699300798</c:v>
                </c:pt>
                <c:pt idx="4">
                  <c:v>0.000899100899101057</c:v>
                </c:pt>
                <c:pt idx="5">
                  <c:v>0.00109890109890109</c:v>
                </c:pt>
                <c:pt idx="6">
                  <c:v>0.00139860139860137</c:v>
                </c:pt>
                <c:pt idx="7">
                  <c:v>0.00159840159840163</c:v>
                </c:pt>
                <c:pt idx="8">
                  <c:v>0.00159840159840163</c:v>
                </c:pt>
                <c:pt idx="9">
                  <c:v>0.00159840159840163</c:v>
                </c:pt>
                <c:pt idx="10">
                  <c:v>0.00229770229770243</c:v>
                </c:pt>
                <c:pt idx="11">
                  <c:v>0.00249750249750269</c:v>
                </c:pt>
                <c:pt idx="12">
                  <c:v>0.00279720279720297</c:v>
                </c:pt>
                <c:pt idx="13">
                  <c:v>0.00299700299700301</c:v>
                </c:pt>
                <c:pt idx="14">
                  <c:v>0.00319680319680327</c:v>
                </c:pt>
                <c:pt idx="15">
                  <c:v>0.00319680319680327</c:v>
                </c:pt>
                <c:pt idx="16">
                  <c:v>0.00309690309690325</c:v>
                </c:pt>
                <c:pt idx="17">
                  <c:v>0.00359640359640356</c:v>
                </c:pt>
                <c:pt idx="18">
                  <c:v>0.0036963036963038</c:v>
                </c:pt>
                <c:pt idx="19">
                  <c:v>0.00349650349650354</c:v>
                </c:pt>
                <c:pt idx="20">
                  <c:v>0.00379620379620382</c:v>
                </c:pt>
                <c:pt idx="21">
                  <c:v>0.00389610389610384</c:v>
                </c:pt>
                <c:pt idx="22">
                  <c:v>0.00389610389610384</c:v>
                </c:pt>
                <c:pt idx="23">
                  <c:v>0.00389610389610384</c:v>
                </c:pt>
                <c:pt idx="24">
                  <c:v>0.00399600399600408</c:v>
                </c:pt>
                <c:pt idx="25">
                  <c:v>0.00419580419580434</c:v>
                </c:pt>
                <c:pt idx="26">
                  <c:v>0.00399600399600408</c:v>
                </c:pt>
                <c:pt idx="27">
                  <c:v>0.00399600399600408</c:v>
                </c:pt>
                <c:pt idx="28">
                  <c:v>0.00379620379620382</c:v>
                </c:pt>
                <c:pt idx="29">
                  <c:v>0.00379620379620382</c:v>
                </c:pt>
                <c:pt idx="30">
                  <c:v>0.00419580419580434</c:v>
                </c:pt>
                <c:pt idx="31">
                  <c:v>0.00429570429570458</c:v>
                </c:pt>
                <c:pt idx="32">
                  <c:v>0.00469530469530488</c:v>
                </c:pt>
                <c:pt idx="33">
                  <c:v>0.00509490509490518</c:v>
                </c:pt>
                <c:pt idx="34">
                  <c:v>0.00509490509490518</c:v>
                </c:pt>
                <c:pt idx="35">
                  <c:v>0.00509490509490518</c:v>
                </c:pt>
                <c:pt idx="36">
                  <c:v>0.00509490509490518</c:v>
                </c:pt>
                <c:pt idx="37">
                  <c:v>0.00549450549450547</c:v>
                </c:pt>
                <c:pt idx="38">
                  <c:v>0.00559440559440572</c:v>
                </c:pt>
                <c:pt idx="39">
                  <c:v>0.00559440559440572</c:v>
                </c:pt>
                <c:pt idx="40">
                  <c:v>0.00559440559440572</c:v>
                </c:pt>
                <c:pt idx="41">
                  <c:v>0.00559440559440572</c:v>
                </c:pt>
                <c:pt idx="42">
                  <c:v>0.00559440559440572</c:v>
                </c:pt>
                <c:pt idx="43">
                  <c:v>0.00559440559440572</c:v>
                </c:pt>
                <c:pt idx="44">
                  <c:v>0.00559440559440572</c:v>
                </c:pt>
                <c:pt idx="45">
                  <c:v>0.00559440559440572</c:v>
                </c:pt>
                <c:pt idx="46">
                  <c:v>0.00549450549450547</c:v>
                </c:pt>
                <c:pt idx="47">
                  <c:v>0.00549450549450547</c:v>
                </c:pt>
                <c:pt idx="48">
                  <c:v>0.00689310689310707</c:v>
                </c:pt>
                <c:pt idx="49">
                  <c:v>0.00699300699300709</c:v>
                </c:pt>
                <c:pt idx="50">
                  <c:v>0.00699300699300709</c:v>
                </c:pt>
                <c:pt idx="51">
                  <c:v>0.00699300699300709</c:v>
                </c:pt>
                <c:pt idx="52">
                  <c:v>0.00749250749250763</c:v>
                </c:pt>
                <c:pt idx="53">
                  <c:v>0.00759240759240765</c:v>
                </c:pt>
                <c:pt idx="54">
                  <c:v>0.00789210789210792</c:v>
                </c:pt>
                <c:pt idx="55">
                  <c:v>0.00809190809190841</c:v>
                </c:pt>
                <c:pt idx="56">
                  <c:v>0.00819180819180843</c:v>
                </c:pt>
                <c:pt idx="57">
                  <c:v>0.00819180819180843</c:v>
                </c:pt>
                <c:pt idx="58">
                  <c:v>0.00859140859140872</c:v>
                </c:pt>
                <c:pt idx="59">
                  <c:v>0.00879120879120898</c:v>
                </c:pt>
                <c:pt idx="60">
                  <c:v>0.00899100899100902</c:v>
                </c:pt>
                <c:pt idx="61">
                  <c:v>0.0092907092907093</c:v>
                </c:pt>
                <c:pt idx="62">
                  <c:v>0.00949050949050956</c:v>
                </c:pt>
                <c:pt idx="63">
                  <c:v>0.00969030969030982</c:v>
                </c:pt>
                <c:pt idx="64">
                  <c:v>0.00969030969030982</c:v>
                </c:pt>
                <c:pt idx="65">
                  <c:v>0.00969030969030982</c:v>
                </c:pt>
                <c:pt idx="66">
                  <c:v>0.0102897102897106</c:v>
                </c:pt>
                <c:pt idx="67">
                  <c:v>0.0103896103896106</c:v>
                </c:pt>
                <c:pt idx="68">
                  <c:v>0.0105894105894107</c:v>
                </c:pt>
                <c:pt idx="69">
                  <c:v>0.0108891108891109</c:v>
                </c:pt>
                <c:pt idx="70">
                  <c:v>0.0109890109890112</c:v>
                </c:pt>
                <c:pt idx="71">
                  <c:v>0.0109890109890112</c:v>
                </c:pt>
                <c:pt idx="72">
                  <c:v>0.0109890109890112</c:v>
                </c:pt>
                <c:pt idx="73">
                  <c:v>0.0116883116883117</c:v>
                </c:pt>
                <c:pt idx="74">
                  <c:v>0.0115884115884117</c:v>
                </c:pt>
                <c:pt idx="75">
                  <c:v>0.0116883116883117</c:v>
                </c:pt>
                <c:pt idx="76">
                  <c:v>0.0117882117882118</c:v>
                </c:pt>
                <c:pt idx="77">
                  <c:v>0.012087912087912</c:v>
                </c:pt>
                <c:pt idx="78">
                  <c:v>0.012087912087912</c:v>
                </c:pt>
                <c:pt idx="79">
                  <c:v>0.012087912087912</c:v>
                </c:pt>
                <c:pt idx="80">
                  <c:v>0.0128871128871131</c:v>
                </c:pt>
                <c:pt idx="81">
                  <c:v>0.0130869130869131</c:v>
                </c:pt>
                <c:pt idx="82">
                  <c:v>0.0132867132867134</c:v>
                </c:pt>
                <c:pt idx="83">
                  <c:v>0.0134865134865136</c:v>
                </c:pt>
                <c:pt idx="84">
                  <c:v>0.013986013986014</c:v>
                </c:pt>
                <c:pt idx="85">
                  <c:v>0.013986013986014</c:v>
                </c:pt>
                <c:pt idx="86">
                  <c:v>0.013986013986014</c:v>
                </c:pt>
                <c:pt idx="87">
                  <c:v>0.0145854145854147</c:v>
                </c:pt>
                <c:pt idx="88">
                  <c:v>0.014785214785215</c:v>
                </c:pt>
                <c:pt idx="89">
                  <c:v>0.0151848151848153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'[组合净值信息表_穗贵阳农商行1年61期-外包EDD_20210101_20210331.xls]Sheet1'!$A$1:$A$90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'[组合净值信息表_穗贵阳农商行1年61期-外包EDD_20210101_20210331.xls]Sheet1'!$E$1:$E$90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102501432"/>
        <c:axId val="772438698"/>
      </c:lineChart>
      <c:dateAx>
        <c:axId val="10250143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438698"/>
        <c:crosses val="autoZero"/>
        <c:auto val="1"/>
        <c:lblOffset val="100"/>
        <c:baseTimeUnit val="days"/>
      </c:dateAx>
      <c:valAx>
        <c:axId val="77243869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014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2022-01-26T00:58:55Z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