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超值宝1年83期理财产品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超值宝1年83期理财产品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103,665,350.50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2021年05月25日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户名：贵阳农村商业银行股份有限公司-超值宝1年83期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851900159610229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1,249,779.71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1,452,041.25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103,665,350.50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1.0367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1.43</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.21</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3.67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hint="eastAsia" w:ascii="宋体" w:hAnsi="宋体"/>
                <w:color w:val="auto"/>
              </w:rPr>
              <w:t>2</w:t>
            </w:r>
            <w:r>
              <w:rPr>
                <w:rFonts w:ascii="宋体" w:hAnsi="宋体"/>
                <w:color w:val="auto"/>
              </w:rPr>
              <w:t>.91</w:t>
            </w:r>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.21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1.43%</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104,039,311.67</w:t>
            </w:r>
          </w:p>
        </w:tc>
        <w:tc>
          <w:tcPr>
            <w:tcW w:w="2069" w:type="dxa"/>
            <w:shd w:val="clear" w:color="auto" w:fill="auto"/>
          </w:tcPr>
          <w:p>
            <w:pPr>
              <w:jc w:val="right"/>
              <w:rPr>
                <w:rFonts w:ascii="宋体"/>
                <w:color w:val="auto"/>
                <w:szCs w:val="21"/>
              </w:rPr>
            </w:pPr>
            <w:r>
              <w:rPr>
                <w:color w:val="auto"/>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104,039,311.67</w:t>
            </w:r>
          </w:p>
        </w:tc>
        <w:tc>
          <w:tcPr>
            <w:tcW w:w="2069" w:type="dxa"/>
            <w:shd w:val="clear" w:color="auto" w:fill="auto"/>
          </w:tcPr>
          <w:p>
            <w:pPr>
              <w:jc w:val="right"/>
              <w:rPr>
                <w:rFonts w:ascii="宋体"/>
                <w:color w:val="auto"/>
                <w:szCs w:val="21"/>
              </w:rPr>
            </w:pPr>
            <w:r>
              <w:rPr>
                <w:color w:val="auto"/>
              </w:rPr>
              <w:t>99.99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6,623.68</w:t>
            </w:r>
          </w:p>
        </w:tc>
        <w:tc>
          <w:tcPr>
            <w:tcW w:w="2127" w:type="dxa"/>
            <w:shd w:val="clear" w:color="auto" w:fill="auto"/>
            <w:vAlign w:val="center"/>
          </w:tcPr>
          <w:p>
            <w:pPr>
              <w:jc w:val="right"/>
              <w:rPr>
                <w:rFonts w:ascii="宋体" w:hAnsi="宋体"/>
                <w:color w:val="auto"/>
              </w:rPr>
            </w:pPr>
            <w:r>
              <w:rPr>
                <w:rFonts w:hint="eastAsia" w:ascii="宋体" w:hAnsi="宋体"/>
                <w:color w:val="auto"/>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104,039,311.67</w:t>
            </w:r>
          </w:p>
        </w:tc>
        <w:tc>
          <w:tcPr>
            <w:tcW w:w="2127" w:type="dxa"/>
            <w:shd w:val="clear" w:color="auto" w:fill="auto"/>
            <w:vAlign w:val="center"/>
          </w:tcPr>
          <w:p>
            <w:pPr>
              <w:jc w:val="right"/>
              <w:rPr>
                <w:rFonts w:ascii="宋体" w:hAnsi="宋体"/>
                <w:color w:val="auto"/>
              </w:rPr>
            </w:pPr>
            <w:r>
              <w:rPr>
                <w:rFonts w:hint="eastAsia" w:ascii="宋体" w:hAnsi="宋体"/>
                <w:color w:val="auto"/>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0.66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104,045,936.01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91,655,303.67</w:t>
            </w:r>
          </w:p>
        </w:tc>
        <w:tc>
          <w:tcPr>
            <w:tcW w:w="2127" w:type="dxa"/>
            <w:shd w:val="clear" w:color="auto" w:fill="auto"/>
            <w:vAlign w:val="center"/>
          </w:tcPr>
          <w:p>
            <w:pPr>
              <w:jc w:val="right"/>
              <w:rPr>
                <w:rFonts w:ascii="宋体" w:hAnsi="宋体"/>
                <w:color w:val="auto"/>
              </w:rPr>
            </w:pPr>
            <w:r>
              <w:rPr>
                <w:rFonts w:hint="eastAsia" w:ascii="宋体" w:hAnsi="宋体"/>
                <w:color w:val="auto"/>
              </w:rPr>
              <w:t>88.09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91,131,918.33</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523,385.34</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5,730,204.64</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449,332.21</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6,316,240.24</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104,151,080.75</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7,966,606.52</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4,388,818.41</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4,057,072.51</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3,631,100.36</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3,574,662.56</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3,502,393.89</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3,190,106.69</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3,081,471.33</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3,044,300.24</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3,040,773.17</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39,477,305.68</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F96977-D6AD-4D85-A949-96088348C33C}"/>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4DB092F8-0E4C-4183-A824-94A5FB6B5027}"/>
  </w:font>
  <w:font w:name="微软雅黑">
    <w:panose1 w:val="020B0503020204020204"/>
    <w:charset w:val="86"/>
    <w:family w:val="swiss"/>
    <w:pitch w:val="default"/>
    <w:sig w:usb0="80000287" w:usb1="2ACF3C50" w:usb2="00000016" w:usb3="00000000" w:csb0="0004001F" w:csb1="00000000"/>
    <w:embedRegular r:id="rId3" w:fontKey="{C5D2BB5B-53E8-408D-A0B7-8097E8D967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wtgM2wr1/vlV0jMK5w+rjgns/w=" w:salt="Oo1zWuWUy1wk3x0VeDuUQ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0F36D8"/>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F0A0B"/>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96340"/>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A3E26"/>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1530A"/>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ED50E51"/>
    <w:rsid w:val="7D080B5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477F9-9DCB-4EDD-8897-CAE1AD0B0C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700</Words>
  <Characters>3992</Characters>
  <Lines>33</Lines>
  <Paragraphs>9</Paragraphs>
  <TotalTime>262</TotalTime>
  <ScaleCrop>false</ScaleCrop>
  <LinksUpToDate>false</LinksUpToDate>
  <CharactersWithSpaces>4683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2022-02-10T09:19:02Z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09FB01591F3D443DA7B7A20496691864</vt:lpwstr>
  </property>
</Properties>
</file>