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val="en-US" w:eastAsia="zh-CN"/>
        </w:rPr>
        <w:t>1年94</w:t>
      </w:r>
      <w:r>
        <w:rPr>
          <w:rFonts w:hint="eastAsia" w:ascii="方正小标宋简体" w:hAnsi="宋体" w:eastAsia="方正小标宋简体"/>
          <w:color w:val="auto"/>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w:t>
      </w:r>
      <w:r>
        <w:rPr>
          <w:rFonts w:hint="eastAsia" w:ascii="方正小标宋简体" w:hAnsi="宋体" w:eastAsia="方正小标宋简体"/>
          <w:color w:val="auto"/>
          <w:sz w:val="44"/>
          <w:szCs w:val="32"/>
          <w:shd w:val="clear" w:color="auto" w:fill="FFFFFF"/>
          <w:lang w:eastAsia="zh-CN"/>
        </w:rPr>
        <w:t>季度报告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中国工商银行</w:t>
      </w:r>
      <w:r>
        <w:rPr>
          <w:rFonts w:hint="eastAsia" w:ascii="仿宋" w:hAnsi="仿宋" w:eastAsia="仿宋"/>
          <w:b/>
          <w:color w:val="auto"/>
          <w:sz w:val="32"/>
          <w:szCs w:val="32"/>
          <w:shd w:val="clear" w:color="auto" w:fill="FFFFFF"/>
        </w:rPr>
        <w:t>股份有限公司</w:t>
      </w:r>
      <w:r>
        <w:rPr>
          <w:rFonts w:hint="eastAsia" w:ascii="仿宋" w:hAnsi="仿宋" w:eastAsia="仿宋"/>
          <w:b/>
          <w:color w:val="auto"/>
          <w:sz w:val="32"/>
          <w:szCs w:val="32"/>
          <w:shd w:val="clear" w:color="auto" w:fill="FFFFFF"/>
          <w:lang w:eastAsia="zh-CN"/>
        </w:rPr>
        <w:t>广州分行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中国工商银行</w:t>
      </w:r>
      <w:r>
        <w:rPr>
          <w:rFonts w:ascii="仿宋" w:hAnsi="仿宋" w:eastAsia="仿宋"/>
          <w:color w:val="auto"/>
        </w:rPr>
        <w:t>股份有限公司</w:t>
      </w:r>
      <w:r>
        <w:rPr>
          <w:rFonts w:hint="eastAsia" w:ascii="仿宋" w:hAnsi="仿宋" w:eastAsia="仿宋"/>
          <w:color w:val="auto"/>
          <w:lang w:eastAsia="zh-CN"/>
        </w:rPr>
        <w:t>广州分行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w:t>
      </w:r>
      <w:r>
        <w:rPr>
          <w:rFonts w:ascii="仿宋" w:hAnsi="仿宋" w:eastAsia="仿宋"/>
          <w:color w:val="auto"/>
        </w:rPr>
        <w:t>0</w:t>
      </w:r>
      <w:r>
        <w:rPr>
          <w:rFonts w:hint="eastAsia" w:ascii="仿宋" w:hAnsi="仿宋" w:eastAsia="仿宋"/>
          <w:color w:val="auto"/>
          <w:lang w:val="en-US" w:eastAsia="zh-CN"/>
        </w:rPr>
        <w:t>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bookmarkStart w:id="0" w:name="_Toc194311890"/>
            <w:bookmarkStart w:id="1" w:name="_Toc528772556"/>
            <w:r>
              <w:rPr>
                <w:rFonts w:hint="eastAsia" w:ascii="仿宋" w:hAnsi="仿宋" w:eastAsia="仿宋"/>
                <w:b/>
                <w:color w:val="auto"/>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超值宝1年</w:t>
            </w:r>
            <w:r>
              <w:rPr>
                <w:rFonts w:hint="eastAsia" w:ascii="仿宋" w:hAnsi="仿宋" w:eastAsia="仿宋"/>
                <w:color w:val="auto"/>
                <w:kern w:val="0"/>
                <w:szCs w:val="21"/>
                <w:shd w:val="clear" w:color="auto" w:fill="FFFFFF"/>
                <w:lang w:val="en-US" w:eastAsia="zh-CN"/>
              </w:rPr>
              <w:t>94</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color w:val="auto"/>
                <w:kern w:val="0"/>
                <w:szCs w:val="21"/>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120,160,000.00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2021年8月10日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2022年8月10日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中国工商银行</w:t>
            </w:r>
            <w:r>
              <w:rPr>
                <w:rFonts w:hint="eastAsia" w:ascii="仿宋" w:hAnsi="仿宋" w:eastAsia="仿宋"/>
                <w:color w:val="auto"/>
                <w:szCs w:val="21"/>
                <w:shd w:val="clear" w:color="auto" w:fill="FFFFFF"/>
              </w:rPr>
              <w:t>股份有限公司</w:t>
            </w:r>
            <w:r>
              <w:rPr>
                <w:rFonts w:hint="eastAsia" w:ascii="仿宋" w:hAnsi="仿宋" w:eastAsia="仿宋"/>
                <w:color w:val="auto"/>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户名：工商银行贵阳农商银行超值宝１年９４期理财产品</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账号：3602003829200483962</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中国工商银行广州分行</w:t>
            </w:r>
            <w:r>
              <w:rPr>
                <w:rFonts w:hint="eastAsia" w:ascii="仿宋" w:hAnsi="仿宋" w:eastAsia="仿宋"/>
                <w:color w:val="auto"/>
                <w:szCs w:val="21"/>
                <w:shd w:val="clear" w:color="auto" w:fill="FFFFFF"/>
              </w:rPr>
              <w:t>大德支行</w:t>
            </w:r>
          </w:p>
        </w:tc>
      </w:tr>
    </w:tbl>
    <w:p>
      <w:pPr>
        <w:spacing w:before="156" w:beforeLines="50" w:after="156" w:afterLines="50" w:line="360" w:lineRule="auto"/>
        <w:jc w:val="center"/>
        <w:rPr>
          <w:rFonts w:ascii="黑体" w:hAnsi="黑体" w:eastAsia="黑体"/>
          <w:color w:val="auto"/>
          <w:sz w:val="24"/>
          <w:szCs w:val="24"/>
          <w:shd w:val="clear" w:color="auto" w:fill="FFFFFF"/>
        </w:rPr>
      </w:pPr>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p>
      <w:pPr>
        <w:spacing w:before="156" w:beforeLines="50" w:after="156" w:afterLines="50" w:line="360" w:lineRule="auto"/>
        <w:rPr>
          <w:rFonts w:ascii="仿宋" w:hAnsi="仿宋" w:eastAsia="仿宋"/>
          <w:b/>
          <w:color w:val="auto"/>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w:t>
            </w:r>
            <w:r>
              <w:rPr>
                <w:rFonts w:hint="eastAsia" w:ascii="仿宋" w:hAnsi="仿宋" w:eastAsia="仿宋"/>
                <w:color w:val="auto"/>
                <w:szCs w:val="21"/>
                <w:shd w:val="clear" w:color="auto" w:fill="FFFFFF"/>
              </w:rPr>
              <w:t>日-20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31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-184,487.53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2,103,622.90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123,155,183.76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1.0249</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hint="eastAsia" w:ascii="仿宋" w:hAnsi="仿宋" w:eastAsia="仿宋"/>
          <w:color w:val="auto"/>
          <w:lang w:val="en-US" w:eastAsia="zh-CN"/>
        </w:rPr>
      </w:pPr>
      <w:r>
        <w:rPr>
          <w:rFonts w:hint="eastAsia" w:ascii="仿宋" w:hAnsi="仿宋" w:eastAsia="仿宋"/>
          <w:color w:val="auto"/>
          <w:lang w:val="en-US" w:eastAsia="zh-CN"/>
        </w:rPr>
        <w:t>3.2.1本期产品净值走势图</w:t>
      </w:r>
    </w:p>
    <w:p>
      <w:pPr>
        <w:spacing w:before="156" w:beforeLines="50" w:line="240" w:lineRule="auto"/>
        <w:rPr>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color w:val="auto"/>
          <w:lang w:val="en-US" w:eastAsia="zh-CN"/>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1.74 </w:t>
            </w:r>
          </w:p>
        </w:tc>
        <w:tc>
          <w:tcPr>
            <w:tcW w:w="3560"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2.49 </w:t>
            </w:r>
          </w:p>
        </w:tc>
        <w:tc>
          <w:tcPr>
            <w:tcW w:w="3560"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1.85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产品自2021年</w:t>
      </w:r>
      <w:r>
        <w:rPr>
          <w:rFonts w:hint="eastAsia" w:ascii="仿宋" w:hAnsi="仿宋" w:eastAsia="仿宋"/>
          <w:color w:val="auto"/>
          <w:szCs w:val="21"/>
          <w:lang w:val="en-US" w:eastAsia="zh-CN"/>
        </w:rPr>
        <w:t>8</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1.23</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w:t>
      </w:r>
      <w:r>
        <w:rPr>
          <w:rFonts w:hint="eastAsia" w:ascii="仿宋" w:hAnsi="仿宋" w:eastAsia="仿宋"/>
          <w:color w:val="auto"/>
          <w:szCs w:val="21"/>
          <w:shd w:val="clear" w:color="auto" w:fill="FFFFFF"/>
        </w:rPr>
        <w:t>1.0249</w:t>
      </w:r>
      <w:r>
        <w:rPr>
          <w:rFonts w:hint="eastAsia" w:ascii="仿宋" w:hAnsi="仿宋" w:eastAsia="仿宋"/>
          <w:color w:val="auto"/>
          <w:szCs w:val="21"/>
        </w:rPr>
        <w:t>，整体杠杆率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szCs w:val="21"/>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1.74</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ascii="仿宋" w:hAnsi="仿宋" w:eastAsia="仿宋"/>
          <w:color w:val="auto"/>
        </w:rPr>
      </w:pP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61,771,679.27</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50.03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61,689,615.35</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49.97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123,461,294.62</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123,461,294.62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3507.77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123,464,802.72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5,554,646,327.94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88.67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464,004,640.00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51,983,060.02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193,937,038.59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6,264,571,066.55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464,004,640.00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202,600,000.00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196,273,958.22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187,414,500.00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145,886,400.00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141,302,000.00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131,194,000.00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1,883,189,248.22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30.06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color w:val="auto"/>
        </w:rPr>
      </w:pPr>
      <w:r>
        <w:rPr>
          <w:rFonts w:hint="eastAsia" w:ascii="宋体"/>
          <w:color w:val="auto"/>
        </w:rPr>
        <w:tab/>
      </w:r>
      <w:r>
        <w:rPr>
          <w:rFonts w:hint="eastAsia" w:ascii="仿宋" w:hAnsi="仿宋" w:eastAsia="仿宋"/>
          <w:color w:val="auto"/>
          <w:szCs w:val="21"/>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eastAsia="zh-CN"/>
        </w:rPr>
        <w:t>88115057</w:t>
      </w:r>
    </w:p>
    <w:p>
      <w:pPr>
        <w:rPr>
          <w:rFonts w:hint="eastAsia" w:ascii="仿宋" w:hAnsi="仿宋" w:eastAsia="仿宋"/>
          <w:color w:val="auto"/>
          <w:szCs w:val="21"/>
        </w:rPr>
      </w:pPr>
    </w:p>
    <w:p>
      <w:pPr>
        <w:rPr>
          <w:rFonts w:hint="eastAsia" w:ascii="仿宋" w:hAnsi="仿宋" w:eastAsia="仿宋"/>
          <w:color w:val="auto"/>
          <w:szCs w:val="21"/>
        </w:rPr>
      </w:pPr>
    </w:p>
    <w:p>
      <w:pPr>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日</w:t>
      </w:r>
    </w:p>
    <w:p>
      <w:pPr>
        <w:spacing w:line="360" w:lineRule="auto"/>
        <w:jc w:val="right"/>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7ED071-5BBA-4C5A-A9D4-550B6E4134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807AE5C-4F3A-493A-B8AC-C8C35E60A454}"/>
  </w:font>
  <w:font w:name="仿宋">
    <w:panose1 w:val="02010609060101010101"/>
    <w:charset w:val="86"/>
    <w:family w:val="auto"/>
    <w:pitch w:val="default"/>
    <w:sig w:usb0="800002BF" w:usb1="38CF7CFA" w:usb2="00000016" w:usb3="00000000" w:csb0="00040001" w:csb1="00000000"/>
    <w:embedRegular r:id="rId3" w:fontKey="{25A9C221-6269-450E-B207-75820F81804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KFKHjfstes/cVdngAd8w4GRnNnM=" w:salt="1g5VllODxV1PPi60UwuxK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109E69E3"/>
    <w:rsid w:val="134F5BC1"/>
    <w:rsid w:val="14580B25"/>
    <w:rsid w:val="14A17047"/>
    <w:rsid w:val="14E74041"/>
    <w:rsid w:val="153D2966"/>
    <w:rsid w:val="188B46A5"/>
    <w:rsid w:val="195F6954"/>
    <w:rsid w:val="1B744D95"/>
    <w:rsid w:val="1C311D75"/>
    <w:rsid w:val="214B33FF"/>
    <w:rsid w:val="237904B8"/>
    <w:rsid w:val="23D44BC8"/>
    <w:rsid w:val="2AA204DB"/>
    <w:rsid w:val="2FCD2C4F"/>
    <w:rsid w:val="38721494"/>
    <w:rsid w:val="394F4B22"/>
    <w:rsid w:val="3B6E6B8A"/>
    <w:rsid w:val="3C4933C6"/>
    <w:rsid w:val="3D305393"/>
    <w:rsid w:val="3EB35496"/>
    <w:rsid w:val="3F524561"/>
    <w:rsid w:val="4218718A"/>
    <w:rsid w:val="46776F3C"/>
    <w:rsid w:val="4ADF197E"/>
    <w:rsid w:val="4C8926F7"/>
    <w:rsid w:val="4D1108E2"/>
    <w:rsid w:val="4EE378EB"/>
    <w:rsid w:val="4F1B5360"/>
    <w:rsid w:val="50D46540"/>
    <w:rsid w:val="57FE5038"/>
    <w:rsid w:val="58DF7C14"/>
    <w:rsid w:val="5E660FCE"/>
    <w:rsid w:val="606E71E9"/>
    <w:rsid w:val="61FB6C11"/>
    <w:rsid w:val="64F431AF"/>
    <w:rsid w:val="673B4350"/>
    <w:rsid w:val="67855A67"/>
    <w:rsid w:val="67DF73FA"/>
    <w:rsid w:val="69103C58"/>
    <w:rsid w:val="692A41F0"/>
    <w:rsid w:val="6C7928C7"/>
    <w:rsid w:val="6E9B0AE5"/>
    <w:rsid w:val="705B15C4"/>
    <w:rsid w:val="72B166F7"/>
    <w:rsid w:val="76D405E8"/>
    <w:rsid w:val="78C757E5"/>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'[走势图.xlsx]4季度'!$B$1:$B$92</c:f>
              <c:numCache>
                <c:formatCode>General</c:formatCode>
                <c:ptCount val="92"/>
                <c:pt idx="0">
                  <c:v>1.0074</c:v>
                </c:pt>
                <c:pt idx="1">
                  <c:v>1.0074</c:v>
                </c:pt>
                <c:pt idx="2">
                  <c:v>1.0074</c:v>
                </c:pt>
                <c:pt idx="3">
                  <c:v>1.0074</c:v>
                </c:pt>
                <c:pt idx="4">
                  <c:v>1.0073</c:v>
                </c:pt>
                <c:pt idx="5">
                  <c:v>1.0073</c:v>
                </c:pt>
                <c:pt idx="6">
                  <c:v>1.0073</c:v>
                </c:pt>
                <c:pt idx="7">
                  <c:v>1.0092</c:v>
                </c:pt>
                <c:pt idx="8">
                  <c:v>1.0092</c:v>
                </c:pt>
                <c:pt idx="9">
                  <c:v>1.0092</c:v>
                </c:pt>
                <c:pt idx="10">
                  <c:v>1.0097</c:v>
                </c:pt>
                <c:pt idx="11">
                  <c:v>1.0098</c:v>
                </c:pt>
                <c:pt idx="12">
                  <c:v>1.0099</c:v>
                </c:pt>
                <c:pt idx="13">
                  <c:v>1.01</c:v>
                </c:pt>
                <c:pt idx="14">
                  <c:v>1.0102</c:v>
                </c:pt>
                <c:pt idx="15">
                  <c:v>1.0102</c:v>
                </c:pt>
                <c:pt idx="16">
                  <c:v>1.0102</c:v>
                </c:pt>
                <c:pt idx="17">
                  <c:v>1.0108</c:v>
                </c:pt>
                <c:pt idx="18">
                  <c:v>1.0111</c:v>
                </c:pt>
                <c:pt idx="19">
                  <c:v>1.0113</c:v>
                </c:pt>
                <c:pt idx="20">
                  <c:v>1.0116</c:v>
                </c:pt>
                <c:pt idx="21">
                  <c:v>1.0119</c:v>
                </c:pt>
                <c:pt idx="22">
                  <c:v>1.0119</c:v>
                </c:pt>
                <c:pt idx="23">
                  <c:v>1.0119</c:v>
                </c:pt>
                <c:pt idx="24">
                  <c:v>1.0127</c:v>
                </c:pt>
                <c:pt idx="25">
                  <c:v>1.0131</c:v>
                </c:pt>
                <c:pt idx="26">
                  <c:v>1.0133</c:v>
                </c:pt>
                <c:pt idx="27">
                  <c:v>1.0135</c:v>
                </c:pt>
                <c:pt idx="28">
                  <c:v>1.0138</c:v>
                </c:pt>
                <c:pt idx="29">
                  <c:v>1.0138</c:v>
                </c:pt>
                <c:pt idx="30">
                  <c:v>1.0138</c:v>
                </c:pt>
                <c:pt idx="31">
                  <c:v>1.0145</c:v>
                </c:pt>
                <c:pt idx="32">
                  <c:v>1.0147</c:v>
                </c:pt>
                <c:pt idx="33">
                  <c:v>1.015</c:v>
                </c:pt>
                <c:pt idx="34">
                  <c:v>1.0153</c:v>
                </c:pt>
                <c:pt idx="35">
                  <c:v>1.0156</c:v>
                </c:pt>
                <c:pt idx="36">
                  <c:v>1.0155</c:v>
                </c:pt>
                <c:pt idx="37">
                  <c:v>1.0155</c:v>
                </c:pt>
                <c:pt idx="38">
                  <c:v>1.0163</c:v>
                </c:pt>
                <c:pt idx="39">
                  <c:v>1.0165</c:v>
                </c:pt>
                <c:pt idx="40">
                  <c:v>1.0167</c:v>
                </c:pt>
                <c:pt idx="41">
                  <c:v>1.0168</c:v>
                </c:pt>
                <c:pt idx="42">
                  <c:v>1.0169</c:v>
                </c:pt>
                <c:pt idx="43">
                  <c:v>1.0169</c:v>
                </c:pt>
                <c:pt idx="44">
                  <c:v>1.0169</c:v>
                </c:pt>
                <c:pt idx="45">
                  <c:v>1.0176</c:v>
                </c:pt>
                <c:pt idx="46">
                  <c:v>1.0168</c:v>
                </c:pt>
                <c:pt idx="47">
                  <c:v>1.0137</c:v>
                </c:pt>
                <c:pt idx="48">
                  <c:v>1.014</c:v>
                </c:pt>
                <c:pt idx="49">
                  <c:v>1.0142</c:v>
                </c:pt>
                <c:pt idx="50">
                  <c:v>1.0142</c:v>
                </c:pt>
                <c:pt idx="51">
                  <c:v>1.0142</c:v>
                </c:pt>
                <c:pt idx="52">
                  <c:v>1.0149</c:v>
                </c:pt>
                <c:pt idx="53">
                  <c:v>1.0152</c:v>
                </c:pt>
                <c:pt idx="54">
                  <c:v>1.0154</c:v>
                </c:pt>
                <c:pt idx="55">
                  <c:v>1.0158</c:v>
                </c:pt>
                <c:pt idx="56">
                  <c:v>1.0161</c:v>
                </c:pt>
                <c:pt idx="57">
                  <c:v>1.0161</c:v>
                </c:pt>
                <c:pt idx="58">
                  <c:v>1.0161</c:v>
                </c:pt>
                <c:pt idx="59">
                  <c:v>1.0167</c:v>
                </c:pt>
                <c:pt idx="60">
                  <c:v>1.0168</c:v>
                </c:pt>
                <c:pt idx="61">
                  <c:v>1.017</c:v>
                </c:pt>
                <c:pt idx="62">
                  <c:v>1.0171</c:v>
                </c:pt>
                <c:pt idx="63">
                  <c:v>1.017</c:v>
                </c:pt>
                <c:pt idx="64">
                  <c:v>1.017</c:v>
                </c:pt>
                <c:pt idx="65">
                  <c:v>1.017</c:v>
                </c:pt>
                <c:pt idx="66">
                  <c:v>1.0179</c:v>
                </c:pt>
                <c:pt idx="67">
                  <c:v>1.0181</c:v>
                </c:pt>
                <c:pt idx="68">
                  <c:v>1.0184</c:v>
                </c:pt>
                <c:pt idx="69">
                  <c:v>1.0186</c:v>
                </c:pt>
                <c:pt idx="70">
                  <c:v>1.0188</c:v>
                </c:pt>
                <c:pt idx="71">
                  <c:v>1.0188</c:v>
                </c:pt>
                <c:pt idx="72">
                  <c:v>1.0187</c:v>
                </c:pt>
                <c:pt idx="73">
                  <c:v>1.0194</c:v>
                </c:pt>
                <c:pt idx="74">
                  <c:v>1.0197</c:v>
                </c:pt>
                <c:pt idx="75">
                  <c:v>1.0199</c:v>
                </c:pt>
                <c:pt idx="76">
                  <c:v>1.0198</c:v>
                </c:pt>
                <c:pt idx="77">
                  <c:v>1.02</c:v>
                </c:pt>
                <c:pt idx="78">
                  <c:v>1.02</c:v>
                </c:pt>
                <c:pt idx="79">
                  <c:v>1.0199</c:v>
                </c:pt>
                <c:pt idx="80">
                  <c:v>1.0208</c:v>
                </c:pt>
                <c:pt idx="81">
                  <c:v>1.021</c:v>
                </c:pt>
                <c:pt idx="82">
                  <c:v>1.0213</c:v>
                </c:pt>
                <c:pt idx="83">
                  <c:v>1.022</c:v>
                </c:pt>
                <c:pt idx="84">
                  <c:v>1.0223</c:v>
                </c:pt>
                <c:pt idx="85">
                  <c:v>1.0223</c:v>
                </c:pt>
                <c:pt idx="86">
                  <c:v>1.0223</c:v>
                </c:pt>
                <c:pt idx="87">
                  <c:v>1.023</c:v>
                </c:pt>
                <c:pt idx="88">
                  <c:v>1.0233</c:v>
                </c:pt>
                <c:pt idx="89">
                  <c:v>1.0243</c:v>
                </c:pt>
                <c:pt idx="90">
                  <c:v>1.0246</c:v>
                </c:pt>
                <c:pt idx="91">
                  <c:v>1.0249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'[走势图.xlsx]4季度'!$C$1:$C$92</c:f>
              <c:numCache>
                <c:formatCode>0.00%</c:formatCode>
                <c:ptCount val="92"/>
                <c:pt idx="0">
                  <c:v>0</c:v>
                </c:pt>
                <c:pt idx="1">
                  <c:v>0</c:v>
                </c:pt>
                <c:pt idx="2">
                  <c:v>0</c:v>
                </c:pt>
                <c:pt idx="3">
                  <c:v>0</c:v>
                </c:pt>
                <c:pt idx="4">
                  <c:v>-9.92654357752087e-5</c:v>
                </c:pt>
                <c:pt idx="5">
                  <c:v>-9.92654357752087e-5</c:v>
                </c:pt>
                <c:pt idx="6">
                  <c:v>-9.92654357752087e-5</c:v>
                </c:pt>
                <c:pt idx="7">
                  <c:v>0.00178677784395487</c:v>
                </c:pt>
                <c:pt idx="8">
                  <c:v>0.00178677784395487</c:v>
                </c:pt>
                <c:pt idx="9">
                  <c:v>0.00178677784395487</c:v>
                </c:pt>
                <c:pt idx="10">
                  <c:v>0.00228310502283091</c:v>
                </c:pt>
                <c:pt idx="11">
                  <c:v>0.00238237045860634</c:v>
                </c:pt>
                <c:pt idx="12">
                  <c:v>0.00248163589438155</c:v>
                </c:pt>
                <c:pt idx="13">
                  <c:v>0.00258090133015676</c:v>
                </c:pt>
                <c:pt idx="14">
                  <c:v>0.00277943220170718</c:v>
                </c:pt>
                <c:pt idx="15">
                  <c:v>0.00277943220170718</c:v>
                </c:pt>
                <c:pt idx="16">
                  <c:v>0.00277943220170718</c:v>
                </c:pt>
                <c:pt idx="17">
                  <c:v>0.00337502481635887</c:v>
                </c:pt>
                <c:pt idx="18">
                  <c:v>0.00367282112368472</c:v>
                </c:pt>
                <c:pt idx="19">
                  <c:v>0.00387135199523536</c:v>
                </c:pt>
                <c:pt idx="20">
                  <c:v>0.00416914830256099</c:v>
                </c:pt>
                <c:pt idx="21">
                  <c:v>0.00446694460988684</c:v>
                </c:pt>
                <c:pt idx="22">
                  <c:v>0.00446694460988684</c:v>
                </c:pt>
                <c:pt idx="23">
                  <c:v>0.00446694460988684</c:v>
                </c:pt>
                <c:pt idx="24">
                  <c:v>0.00526106809608873</c:v>
                </c:pt>
                <c:pt idx="25">
                  <c:v>0.00565812983918978</c:v>
                </c:pt>
                <c:pt idx="26">
                  <c:v>0.00585666071074065</c:v>
                </c:pt>
                <c:pt idx="27">
                  <c:v>0.00605519158229106</c:v>
                </c:pt>
                <c:pt idx="28">
                  <c:v>0.00635298788961669</c:v>
                </c:pt>
                <c:pt idx="29">
                  <c:v>0.00635298788961669</c:v>
                </c:pt>
                <c:pt idx="30">
                  <c:v>0.00635298788961669</c:v>
                </c:pt>
                <c:pt idx="31">
                  <c:v>0.0070478459400436</c:v>
                </c:pt>
                <c:pt idx="32">
                  <c:v>0.00724637681159401</c:v>
                </c:pt>
                <c:pt idx="33">
                  <c:v>0.00754417311891986</c:v>
                </c:pt>
                <c:pt idx="34">
                  <c:v>0.00784196942624571</c:v>
                </c:pt>
                <c:pt idx="35">
                  <c:v>0.00813976573357156</c:v>
                </c:pt>
                <c:pt idx="36">
                  <c:v>0.00804050029779635</c:v>
                </c:pt>
                <c:pt idx="37">
                  <c:v>0.00804050029779635</c:v>
                </c:pt>
                <c:pt idx="38">
                  <c:v>0.00883462378399824</c:v>
                </c:pt>
                <c:pt idx="39">
                  <c:v>0.00903315465554888</c:v>
                </c:pt>
                <c:pt idx="40">
                  <c:v>0.0092316855270993</c:v>
                </c:pt>
                <c:pt idx="41">
                  <c:v>0.00933095096287451</c:v>
                </c:pt>
                <c:pt idx="42">
                  <c:v>0.00943021639864994</c:v>
                </c:pt>
                <c:pt idx="43">
                  <c:v>0.00943021639864994</c:v>
                </c:pt>
                <c:pt idx="44">
                  <c:v>0.00943021639864994</c:v>
                </c:pt>
                <c:pt idx="45">
                  <c:v>0.0101250744490768</c:v>
                </c:pt>
                <c:pt idx="46">
                  <c:v>0.00933095096287451</c:v>
                </c:pt>
                <c:pt idx="47">
                  <c:v>0.00625372245384148</c:v>
                </c:pt>
                <c:pt idx="48">
                  <c:v>0.00655151876116733</c:v>
                </c:pt>
                <c:pt idx="49">
                  <c:v>0.00675004963271775</c:v>
                </c:pt>
                <c:pt idx="50">
                  <c:v>0.00675004963271775</c:v>
                </c:pt>
                <c:pt idx="51">
                  <c:v>0.00675004963271775</c:v>
                </c:pt>
                <c:pt idx="52">
                  <c:v>0.00744490768314465</c:v>
                </c:pt>
                <c:pt idx="53">
                  <c:v>0.0077427039904705</c:v>
                </c:pt>
                <c:pt idx="54">
                  <c:v>0.00794123486202114</c:v>
                </c:pt>
                <c:pt idx="55">
                  <c:v>0.00833829660512198</c:v>
                </c:pt>
                <c:pt idx="56">
                  <c:v>0.00863609291244782</c:v>
                </c:pt>
                <c:pt idx="57">
                  <c:v>0.00863609291244782</c:v>
                </c:pt>
                <c:pt idx="58">
                  <c:v>0.00863609291244782</c:v>
                </c:pt>
                <c:pt idx="59">
                  <c:v>0.0092316855270993</c:v>
                </c:pt>
                <c:pt idx="60">
                  <c:v>0.00933095096287451</c:v>
                </c:pt>
                <c:pt idx="61">
                  <c:v>0.00952948183442515</c:v>
                </c:pt>
                <c:pt idx="62">
                  <c:v>0.00962874727020036</c:v>
                </c:pt>
                <c:pt idx="63">
                  <c:v>0.00952948183442515</c:v>
                </c:pt>
                <c:pt idx="64">
                  <c:v>0.00952948183442515</c:v>
                </c:pt>
                <c:pt idx="65">
                  <c:v>0.00952948183442515</c:v>
                </c:pt>
                <c:pt idx="66">
                  <c:v>0.0104228707564025</c:v>
                </c:pt>
                <c:pt idx="67">
                  <c:v>0.0106214016279531</c:v>
                </c:pt>
                <c:pt idx="68">
                  <c:v>0.0109191979352787</c:v>
                </c:pt>
                <c:pt idx="69">
                  <c:v>0.0111177288068294</c:v>
                </c:pt>
                <c:pt idx="70">
                  <c:v>0.0113162596783798</c:v>
                </c:pt>
                <c:pt idx="71">
                  <c:v>0.0113162596783798</c:v>
                </c:pt>
                <c:pt idx="72">
                  <c:v>0.0112169942426046</c:v>
                </c:pt>
                <c:pt idx="73">
                  <c:v>0.0119118522930315</c:v>
                </c:pt>
                <c:pt idx="74">
                  <c:v>0.0122096486003573</c:v>
                </c:pt>
                <c:pt idx="75">
                  <c:v>0.0124081794719078</c:v>
                </c:pt>
                <c:pt idx="76">
                  <c:v>0.0123089140361325</c:v>
                </c:pt>
                <c:pt idx="77">
                  <c:v>0.0125074449076832</c:v>
                </c:pt>
                <c:pt idx="78">
                  <c:v>0.0125074449076832</c:v>
                </c:pt>
                <c:pt idx="79">
                  <c:v>0.0124081794719078</c:v>
                </c:pt>
                <c:pt idx="80">
                  <c:v>0.0133015683938851</c:v>
                </c:pt>
                <c:pt idx="81">
                  <c:v>0.0135000992654357</c:v>
                </c:pt>
                <c:pt idx="82">
                  <c:v>0.0137978955727616</c:v>
                </c:pt>
                <c:pt idx="83">
                  <c:v>0.0144927536231882</c:v>
                </c:pt>
                <c:pt idx="84">
                  <c:v>0.0147905499305141</c:v>
                </c:pt>
                <c:pt idx="85">
                  <c:v>0.0147905499305141</c:v>
                </c:pt>
                <c:pt idx="86">
                  <c:v>0.0147905499305141</c:v>
                </c:pt>
                <c:pt idx="87">
                  <c:v>0.0154854079809408</c:v>
                </c:pt>
                <c:pt idx="88">
                  <c:v>0.0157832042882668</c:v>
                </c:pt>
                <c:pt idx="89">
                  <c:v>0.0167758586460194</c:v>
                </c:pt>
                <c:pt idx="90">
                  <c:v>0.0170736549533452</c:v>
                </c:pt>
                <c:pt idx="91">
                  <c:v>0.0173714512606709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'[走势图.xlsx]4季度'!$E$1:$E$92</c:f>
              <c:numCache>
                <c:formatCode>0.00%</c:formatCode>
                <c:ptCount val="92"/>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2022-02-11T01:46:19Z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99E61676A07C42E9B32B20C7E0C73467</vt:lpwstr>
  </property>
</Properties>
</file>