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超值宝2年10期理财产品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贵阳农商银行股份有限公司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13,272,042.09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2021年02月03日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w:t>
            </w:r>
            <w:r>
              <w:rPr>
                <w:rFonts w:ascii="宋体" w:hAnsi="宋体"/>
                <w:color w:val="auto"/>
                <w:szCs w:val="21"/>
                <w:shd w:val="clear" w:color="auto" w:fill="FFFFFF"/>
              </w:rPr>
              <w:t>2</w:t>
            </w:r>
            <w:r>
              <w:rPr>
                <w:rFonts w:hint="eastAsia" w:ascii="宋体" w:hAnsi="宋体"/>
                <w:color w:val="auto"/>
                <w:szCs w:val="21"/>
                <w:shd w:val="clear" w:color="auto" w:fill="FFFFFF"/>
              </w:rPr>
              <w:t>%-</w:t>
            </w:r>
            <w:r>
              <w:rPr>
                <w:rFonts w:ascii="宋体" w:hAnsi="宋体"/>
                <w:color w:val="auto"/>
                <w:szCs w:val="21"/>
                <w:shd w:val="clear" w:color="auto" w:fill="FFFFFF"/>
              </w:rPr>
              <w:t>5.8</w:t>
            </w:r>
            <w:r>
              <w:rPr>
                <w:rFonts w:hint="eastAsia" w:ascii="宋体" w:hAnsi="宋体"/>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户名：贵阳农村商业银行股份有限公司-超值宝2年10期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851900159610519</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-17,274.25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192,475.85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13,272,042.09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1.47</w:t>
            </w:r>
          </w:p>
        </w:tc>
        <w:tc>
          <w:tcPr>
            <w:tcW w:w="1843" w:type="dxa"/>
            <w:vAlign w:val="center"/>
          </w:tcPr>
          <w:p>
            <w:pPr>
              <w:jc w:val="right"/>
              <w:rPr>
                <w:rFonts w:ascii="宋体" w:hAnsi="宋体"/>
                <w:color w:val="auto"/>
              </w:rPr>
            </w:pPr>
            <w:r>
              <w:rPr>
                <w:rFonts w:ascii="宋体" w:hAnsi="宋体"/>
                <w:color w:val="auto"/>
              </w:rPr>
              <w:t>1.31</w:t>
            </w:r>
          </w:p>
        </w:tc>
        <w:tc>
          <w:tcPr>
            <w:tcW w:w="1843" w:type="dxa"/>
            <w:vAlign w:val="center"/>
          </w:tcPr>
          <w:p>
            <w:pPr>
              <w:jc w:val="right"/>
              <w:rPr>
                <w:rFonts w:ascii="宋体" w:hAnsi="宋体"/>
                <w:color w:val="auto"/>
              </w:rPr>
            </w:pPr>
            <w:r>
              <w:rPr>
                <w:rFonts w:ascii="宋体" w:hAnsi="宋体"/>
                <w:color w:val="auto"/>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5.42</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4.73</w:t>
            </w:r>
          </w:p>
        </w:tc>
        <w:tc>
          <w:tcPr>
            <w:tcW w:w="1843" w:type="dxa"/>
            <w:vAlign w:val="center"/>
          </w:tcPr>
          <w:p>
            <w:pPr>
              <w:jc w:val="right"/>
              <w:rPr>
                <w:rFonts w:ascii="宋体" w:hAnsi="宋体"/>
                <w:color w:val="auto"/>
              </w:rPr>
            </w:pPr>
            <w:r>
              <w:rPr>
                <w:rFonts w:ascii="宋体" w:hAnsi="宋体"/>
                <w:color w:val="auto"/>
              </w:rPr>
              <w:t>5.28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rFonts w:hint="eastAsia"/>
          <w:color w:val="auto"/>
        </w:rPr>
      </w:pPr>
      <w:r>
        <w:rPr>
          <w:color w:val="auto"/>
        </w:rPr>
        <w:drawing>
          <wp:inline distT="0" distB="0" distL="0" distR="0">
            <wp:extent cx="4584700" cy="2755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13,332,864.93</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13,332,864.93</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122.73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13,332,864.93</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13,332,987.66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11,745,827.27</w:t>
            </w:r>
          </w:p>
        </w:tc>
        <w:tc>
          <w:tcPr>
            <w:tcW w:w="2127" w:type="dxa"/>
            <w:shd w:val="clear" w:color="auto" w:fill="auto"/>
            <w:vAlign w:val="center"/>
          </w:tcPr>
          <w:p>
            <w:pPr>
              <w:jc w:val="right"/>
              <w:rPr>
                <w:rFonts w:ascii="宋体" w:hAnsi="宋体"/>
                <w:color w:val="auto"/>
              </w:rPr>
            </w:pPr>
            <w:r>
              <w:rPr>
                <w:rFonts w:hint="eastAsia" w:ascii="宋体" w:hAnsi="宋体"/>
                <w:color w:val="auto"/>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11,678,754.30</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67,072.97</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734,338.23</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57,582.90</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809,439.98</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13,347,188.39</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1,020,938.02</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562,436.66</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519,922.70</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465,333.44</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458,100.81</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448,839.42</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408,819.14</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394,897.28</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390,133.72</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389,681.72</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5,059,102.91</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贵阳农商银行股份有限公司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15D921A-8369-439D-8088-F415202B4343}"/>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730DB8AF-FAC0-44C1-8F7D-0750C7066BD1}"/>
  </w:font>
  <w:font w:name="微软雅黑">
    <w:panose1 w:val="020B0503020204020204"/>
    <w:charset w:val="86"/>
    <w:family w:val="swiss"/>
    <w:pitch w:val="default"/>
    <w:sig w:usb0="80000287" w:usb1="2ACF3C50" w:usb2="00000016" w:usb3="00000000" w:csb0="0004001F" w:csb1="00000000"/>
    <w:embedRegular r:id="rId3" w:fontKey="{007B860D-9998-44B9-B54A-CCDD9747AD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POlQnSOqjpk/ocIx43yRvvOgcrk=" w:salt="n7e/MgVRBvq9/5ZPg/KIe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06B1"/>
    <w:rsid w:val="002C36FC"/>
    <w:rsid w:val="002D2A83"/>
    <w:rsid w:val="002D48EC"/>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338A6"/>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CE7E3C"/>
    <w:rsid w:val="00D14180"/>
    <w:rsid w:val="00D279D1"/>
    <w:rsid w:val="00D4381C"/>
    <w:rsid w:val="00D65694"/>
    <w:rsid w:val="00D73AC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0FF1D5C"/>
    <w:rsid w:val="13AA213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3ADB1-293F-4A41-AD40-B702A7DA8F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693</Words>
  <Characters>3955</Characters>
  <Lines>32</Lines>
  <Paragraphs>9</Paragraphs>
  <TotalTime>268</TotalTime>
  <ScaleCrop>false</ScaleCrop>
  <LinksUpToDate>false</LinksUpToDate>
  <CharactersWithSpaces>4639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2022-02-11T01:19:41Z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2BE98E73074F44A687DE0CD114F0388B</vt:lpwstr>
  </property>
</Properties>
</file>