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超值宝2年12期理财产品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本报告期自2021年04月13日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超值宝2年12期理财产品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31,600,000.00份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33,030,883.36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2021年04月13日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户名：贵阳农村商业银行股份有限公司-超值宝2年12期理财产品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hint="eastAsia" w:ascii="宋体" w:hAnsi="宋体"/>
                <w:szCs w:val="21"/>
                <w:shd w:val="clear" w:color="auto" w:fill="FFFFFF"/>
              </w:rPr>
              <w:t>851900159610826</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2021年04月13日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-143,386.54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1,430,883.36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33,030,883.36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1.0453</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2021年04月13日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4.53</w:t>
            </w:r>
          </w:p>
        </w:tc>
        <w:tc>
          <w:tcPr>
            <w:tcW w:w="1843" w:type="dxa"/>
            <w:vAlign w:val="center"/>
          </w:tcPr>
          <w:p>
            <w:pPr>
              <w:jc w:val="right"/>
              <w:rPr>
                <w:rFonts w:ascii="宋体" w:hAnsi="宋体"/>
                <w:color w:val="FF0000"/>
              </w:rPr>
            </w:pPr>
            <w:r>
              <w:rPr>
                <w:rFonts w:hint="eastAsia" w:ascii="宋体" w:hAnsi="宋体"/>
              </w:rPr>
              <w:t>3</w:t>
            </w:r>
            <w:r>
              <w:rPr>
                <w:rFonts w:ascii="宋体" w:hAnsi="宋体"/>
              </w:rPr>
              <w:t>.75</w:t>
            </w:r>
          </w:p>
        </w:tc>
        <w:tc>
          <w:tcPr>
            <w:tcW w:w="1843" w:type="dxa"/>
            <w:vAlign w:val="center"/>
          </w:tcPr>
          <w:p>
            <w:pPr>
              <w:jc w:val="right"/>
              <w:rPr>
                <w:rFonts w:ascii="宋体" w:hAnsi="宋体"/>
                <w:color w:val="FF0000"/>
              </w:rPr>
            </w:pPr>
            <w:r>
              <w:rPr>
                <w:rFonts w:hint="eastAsia" w:ascii="宋体" w:hAnsi="宋体"/>
              </w:rPr>
              <w:t>4</w:t>
            </w:r>
            <w:r>
              <w:rPr>
                <w:rFonts w:ascii="宋体" w:hAnsi="宋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4.53</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3</w:t>
            </w:r>
            <w:r>
              <w:rPr>
                <w:rFonts w:ascii="宋体" w:hAnsi="宋体"/>
              </w:rPr>
              <w:t>.75</w:t>
            </w:r>
          </w:p>
        </w:tc>
        <w:tc>
          <w:tcPr>
            <w:tcW w:w="1843" w:type="dxa"/>
            <w:vAlign w:val="center"/>
          </w:tcPr>
          <w:p>
            <w:pPr>
              <w:jc w:val="right"/>
              <w:rPr>
                <w:rFonts w:ascii="宋体" w:hAnsi="宋体"/>
                <w:color w:val="FF0000"/>
              </w:rPr>
            </w:pPr>
            <w:r>
              <w:rPr>
                <w:rFonts w:hint="eastAsia" w:ascii="宋体" w:hAnsi="宋体"/>
              </w:rPr>
              <w:t>4</w:t>
            </w:r>
            <w:r>
              <w:rPr>
                <w:rFonts w:ascii="宋体" w:hAnsi="宋体"/>
              </w:rPr>
              <w:t>.18</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4.53%</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w:t>
            </w:r>
          </w:p>
        </w:tc>
        <w:tc>
          <w:tcPr>
            <w:tcW w:w="2066" w:type="dxa"/>
            <w:shd w:val="clear" w:color="auto" w:fill="auto"/>
          </w:tcPr>
          <w:p>
            <w:pPr>
              <w:jc w:val="right"/>
              <w:rPr>
                <w:rFonts w:ascii="宋体"/>
                <w:szCs w:val="21"/>
              </w:rPr>
            </w:pPr>
            <w:r>
              <w:t>33,174,269.90</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33,174,269.90</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307.76</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33,174,269.90</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33,174,577.66</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31,030,344.45</w:t>
            </w:r>
          </w:p>
        </w:tc>
        <w:tc>
          <w:tcPr>
            <w:tcW w:w="2127" w:type="dxa"/>
            <w:shd w:val="clear" w:color="auto" w:fill="auto"/>
            <w:vAlign w:val="center"/>
          </w:tcPr>
          <w:p>
            <w:pPr>
              <w:jc w:val="right"/>
              <w:rPr>
                <w:rFonts w:ascii="宋体" w:hAnsi="宋体"/>
              </w:rPr>
            </w:pPr>
            <w:r>
              <w:rPr>
                <w:rFonts w:hint="eastAsia" w:ascii="宋体" w:hAnsi="宋体"/>
              </w:rPr>
              <w:t>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31,030,344.45</w:t>
            </w:r>
          </w:p>
        </w:tc>
        <w:tc>
          <w:tcPr>
            <w:tcW w:w="2127" w:type="dxa"/>
            <w:shd w:val="clear" w:color="auto" w:fill="auto"/>
            <w:vAlign w:val="center"/>
          </w:tcPr>
          <w:p>
            <w:pPr>
              <w:jc w:val="right"/>
              <w:rPr>
                <w:rFonts w:ascii="宋体" w:hAnsi="宋体"/>
              </w:rPr>
            </w:pPr>
            <w:r>
              <w:rPr>
                <w:rFonts w:hint="eastAsia" w:ascii="宋体" w:hAnsi="宋体"/>
              </w:rPr>
              <w:t>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818,785.57</w:t>
            </w:r>
          </w:p>
        </w:tc>
        <w:tc>
          <w:tcPr>
            <w:tcW w:w="2127" w:type="dxa"/>
            <w:shd w:val="clear" w:color="auto" w:fill="auto"/>
            <w:vAlign w:val="center"/>
          </w:tcPr>
          <w:p>
            <w:pPr>
              <w:jc w:val="right"/>
              <w:rPr>
                <w:rFonts w:ascii="宋体" w:hAnsi="宋体"/>
              </w:rPr>
            </w:pPr>
            <w:r>
              <w:rPr>
                <w:rFonts w:hint="eastAsia" w:ascii="宋体" w:hAnsi="宋体"/>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308,261.70</w:t>
            </w:r>
          </w:p>
        </w:tc>
        <w:tc>
          <w:tcPr>
            <w:tcW w:w="2127" w:type="dxa"/>
            <w:shd w:val="clear" w:color="auto" w:fill="auto"/>
            <w:vAlign w:val="center"/>
          </w:tcPr>
          <w:p>
            <w:pPr>
              <w:jc w:val="right"/>
              <w:rPr>
                <w:rFonts w:ascii="宋体" w:hAnsi="宋体"/>
              </w:rPr>
            </w:pPr>
            <w:r>
              <w:rPr>
                <w:rFonts w:hint="eastAsia" w:ascii="宋体" w:hAnsi="宋体"/>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1,060,915.34</w:t>
            </w:r>
          </w:p>
        </w:tc>
        <w:tc>
          <w:tcPr>
            <w:tcW w:w="2127" w:type="dxa"/>
            <w:shd w:val="clear" w:color="auto" w:fill="auto"/>
            <w:vAlign w:val="center"/>
          </w:tcPr>
          <w:p>
            <w:pPr>
              <w:jc w:val="right"/>
              <w:rPr>
                <w:rFonts w:ascii="宋体" w:hAnsi="宋体"/>
              </w:rPr>
            </w:pPr>
            <w:r>
              <w:rPr>
                <w:rFonts w:hint="eastAsia" w:ascii="宋体" w:hAnsi="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33,218,307.07</w:t>
            </w:r>
          </w:p>
        </w:tc>
        <w:tc>
          <w:tcPr>
            <w:tcW w:w="2127" w:type="dxa"/>
            <w:shd w:val="clear" w:color="auto" w:fill="auto"/>
          </w:tcPr>
          <w:p>
            <w:pPr>
              <w:jc w:val="right"/>
              <w:rPr>
                <w:rFonts w:ascii="宋体" w:hAnsi="宋体"/>
              </w:rPr>
            </w:pPr>
            <w:r>
              <w:rPr>
                <w:rFonts w:hint="eastAsia" w:ascii="宋体" w:hAnsi="宋体"/>
              </w:rPr>
              <w:t>100.13</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1,822,904.37</w:t>
            </w:r>
          </w:p>
        </w:tc>
        <w:tc>
          <w:tcPr>
            <w:tcW w:w="2113" w:type="dxa"/>
            <w:shd w:val="clear" w:color="auto" w:fill="auto"/>
          </w:tcPr>
          <w:p>
            <w:pPr>
              <w:jc w:val="right"/>
              <w:rPr>
                <w:rFonts w:ascii="宋体"/>
                <w:szCs w:val="21"/>
              </w:rPr>
            </w:pPr>
            <w: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1,283,760.79</w:t>
            </w:r>
          </w:p>
        </w:tc>
        <w:tc>
          <w:tcPr>
            <w:tcW w:w="2113" w:type="dxa"/>
            <w:shd w:val="clear" w:color="auto" w:fill="auto"/>
          </w:tcPr>
          <w:p>
            <w:pPr>
              <w:jc w:val="right"/>
              <w:rPr>
                <w:rFonts w:ascii="宋体"/>
                <w:szCs w:val="21"/>
              </w:rPr>
            </w:pPr>
            <w: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1,265,639.80</w:t>
            </w:r>
          </w:p>
        </w:tc>
        <w:tc>
          <w:tcPr>
            <w:tcW w:w="2113" w:type="dxa"/>
            <w:shd w:val="clear" w:color="auto" w:fill="auto"/>
          </w:tcPr>
          <w:p>
            <w:pPr>
              <w:jc w:val="right"/>
              <w:rPr>
                <w:rFonts w:ascii="宋体"/>
                <w:szCs w:val="21"/>
              </w:rPr>
            </w:pPr>
            <w: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1,067,695.51</w:t>
            </w:r>
          </w:p>
        </w:tc>
        <w:tc>
          <w:tcPr>
            <w:tcW w:w="2113" w:type="dxa"/>
            <w:shd w:val="clear" w:color="auto" w:fill="auto"/>
          </w:tcPr>
          <w:p>
            <w:pPr>
              <w:jc w:val="right"/>
              <w:rPr>
                <w:rFonts w:ascii="宋体"/>
                <w:szCs w:val="21"/>
              </w:rPr>
            </w:pPr>
            <w: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985,963.18</w:t>
            </w:r>
          </w:p>
        </w:tc>
        <w:tc>
          <w:tcPr>
            <w:tcW w:w="2113" w:type="dxa"/>
            <w:shd w:val="clear" w:color="auto" w:fill="auto"/>
          </w:tcPr>
          <w:p>
            <w:pPr>
              <w:jc w:val="right"/>
              <w:rPr>
                <w:rFonts w:ascii="宋体"/>
                <w:szCs w:val="21"/>
              </w:rPr>
            </w:pPr>
            <w: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20遵旅01</w:t>
            </w:r>
          </w:p>
        </w:tc>
        <w:tc>
          <w:tcPr>
            <w:tcW w:w="2138" w:type="dxa"/>
            <w:shd w:val="clear" w:color="auto" w:fill="auto"/>
          </w:tcPr>
          <w:p>
            <w:pPr>
              <w:jc w:val="right"/>
              <w:rPr>
                <w:rFonts w:ascii="宋体"/>
                <w:szCs w:val="21"/>
              </w:rPr>
            </w:pPr>
            <w:r>
              <w:t>961,724.58</w:t>
            </w:r>
          </w:p>
        </w:tc>
        <w:tc>
          <w:tcPr>
            <w:tcW w:w="2113" w:type="dxa"/>
            <w:shd w:val="clear" w:color="auto" w:fill="auto"/>
          </w:tcPr>
          <w:p>
            <w:pPr>
              <w:jc w:val="right"/>
              <w:rPr>
                <w:rFonts w:ascii="宋体"/>
                <w:szCs w:val="21"/>
              </w:rPr>
            </w:pPr>
            <w: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957,429.68</w:t>
            </w:r>
          </w:p>
        </w:tc>
        <w:tc>
          <w:tcPr>
            <w:tcW w:w="2113" w:type="dxa"/>
            <w:shd w:val="clear" w:color="auto" w:fill="auto"/>
          </w:tcPr>
          <w:p>
            <w:pPr>
              <w:jc w:val="right"/>
              <w:rPr>
                <w:rFonts w:ascii="宋体"/>
                <w:szCs w:val="21"/>
              </w:rPr>
            </w:pPr>
            <w: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20南明01</w:t>
            </w:r>
          </w:p>
        </w:tc>
        <w:tc>
          <w:tcPr>
            <w:tcW w:w="2138" w:type="dxa"/>
            <w:shd w:val="clear" w:color="auto" w:fill="auto"/>
          </w:tcPr>
          <w:p>
            <w:pPr>
              <w:jc w:val="right"/>
              <w:rPr>
                <w:rFonts w:ascii="宋体"/>
                <w:szCs w:val="21"/>
              </w:rPr>
            </w:pPr>
            <w:r>
              <w:t>945,486.61</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928,169.64</w:t>
            </w:r>
          </w:p>
        </w:tc>
        <w:tc>
          <w:tcPr>
            <w:tcW w:w="2113" w:type="dxa"/>
            <w:shd w:val="clear" w:color="auto" w:fill="auto"/>
          </w:tcPr>
          <w:p>
            <w:pPr>
              <w:jc w:val="right"/>
              <w:rPr>
                <w:rFonts w:ascii="宋体"/>
                <w:szCs w:val="21"/>
              </w:rPr>
            </w:pPr>
            <w: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918,983.14</w:t>
            </w:r>
          </w:p>
        </w:tc>
        <w:tc>
          <w:tcPr>
            <w:tcW w:w="2113" w:type="dxa"/>
            <w:shd w:val="clear" w:color="auto" w:fill="auto"/>
          </w:tcPr>
          <w:p>
            <w:pPr>
              <w:jc w:val="right"/>
              <w:rPr>
                <w:rFonts w:ascii="宋体"/>
                <w:szCs w:val="21"/>
              </w:rPr>
            </w:pPr>
            <w: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11,137,757.30</w:t>
            </w:r>
          </w:p>
        </w:tc>
        <w:tc>
          <w:tcPr>
            <w:tcW w:w="2113" w:type="dxa"/>
            <w:shd w:val="clear" w:color="auto" w:fill="auto"/>
          </w:tcPr>
          <w:p>
            <w:pPr>
              <w:jc w:val="right"/>
              <w:rPr>
                <w:rFonts w:ascii="宋体"/>
                <w:szCs w:val="21"/>
              </w:rPr>
            </w:pPr>
            <w:r>
              <w:t>33.57</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zi2hlkm1EoXlj029kwkClOT62nQ=" w:salt="x7ZH+Gj/RkgS0QNQfldyq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7179A"/>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D543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914DE"/>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7E6361F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FBC2E-16F9-401B-AF2D-205DCE58C2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696</Words>
  <Characters>3969</Characters>
  <Lines>33</Lines>
  <Paragraphs>9</Paragraphs>
  <TotalTime>261</TotalTime>
  <ScaleCrop>false</ScaleCrop>
  <LinksUpToDate>false</LinksUpToDate>
  <CharactersWithSpaces>4656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2022-04-20T08:08:41Z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