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val="en-US" w:eastAsia="zh-CN"/>
        </w:rPr>
        <w:t>17</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第</w:t>
      </w:r>
      <w:r>
        <w:rPr>
          <w:rFonts w:hint="eastAsia" w:ascii="方正小标宋简体" w:hAnsi="宋体" w:eastAsia="方正小标宋简体"/>
          <w:color w:val="000000"/>
          <w:sz w:val="44"/>
          <w:szCs w:val="32"/>
          <w:shd w:val="clear" w:color="auto" w:fill="FFFFFF"/>
          <w:lang w:val="en-US" w:eastAsia="zh-CN"/>
        </w:rPr>
        <w:t>3季</w:t>
      </w:r>
      <w:r>
        <w:rPr>
          <w:rFonts w:hint="eastAsia" w:ascii="方正小标宋简体" w:hAnsi="宋体" w:eastAsia="方正小标宋简体"/>
          <w:color w:val="000000"/>
          <w:sz w:val="44"/>
          <w:szCs w:val="32"/>
          <w:shd w:val="clear" w:color="auto" w:fill="FFFFFF"/>
          <w:lang w:eastAsia="zh-CN"/>
        </w:rPr>
        <w:t>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09</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宋体" w:hAnsi="宋体"/>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兴业银行股份有限公司贵阳分行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兴业银行股份有限公司贵阳分行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7</w:t>
      </w:r>
      <w:r>
        <w:rPr>
          <w:rFonts w:hint="eastAsia" w:ascii="仿宋" w:hAnsi="仿宋" w:eastAsia="仿宋"/>
        </w:rPr>
        <w:t>月01日起至2022年0</w:t>
      </w:r>
      <w:r>
        <w:rPr>
          <w:rFonts w:hint="eastAsia" w:ascii="仿宋" w:hAnsi="仿宋" w:eastAsia="仿宋"/>
          <w:lang w:val="en-US" w:eastAsia="zh-CN"/>
        </w:rPr>
        <w:t>9</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p>
      <w:pPr>
        <w:spacing w:before="156" w:beforeLines="50" w:after="156" w:afterLines="50" w:line="360" w:lineRule="auto"/>
        <w:jc w:val="center"/>
        <w:rPr>
          <w:rFonts w:ascii="黑体" w:hAnsi="黑体" w:eastAsia="黑体"/>
          <w:sz w:val="24"/>
          <w:szCs w:val="24"/>
          <w:shd w:val="clear" w:color="auto" w:fill="FFFFFF"/>
        </w:rPr>
      </w:pPr>
      <w:bookmarkStart w:id="0" w:name="_Toc528772556"/>
      <w:bookmarkStart w:id="1" w:name="_Toc194311890"/>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tbl>
      <w:tblPr>
        <w:tblStyle w:val="10"/>
        <w:tblpPr w:leftFromText="180" w:rightFromText="180" w:vertAnchor="text" w:horzAnchor="margin" w:tblpX="-688" w:tblpY="81"/>
        <w:tblW w:w="10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20"/>
        <w:gridCol w:w="7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产品名称</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w:t>
            </w:r>
            <w:r>
              <w:rPr>
                <w:rFonts w:hint="eastAsia" w:ascii="仿宋" w:hAnsi="仿宋" w:eastAsia="仿宋"/>
                <w:kern w:val="0"/>
                <w:szCs w:val="21"/>
                <w:shd w:val="clear" w:color="auto" w:fill="FFFFFF"/>
                <w:lang w:val="en-US" w:eastAsia="zh-CN"/>
              </w:rPr>
              <w:t>2年17</w:t>
            </w:r>
            <w:r>
              <w:rPr>
                <w:rFonts w:hint="eastAsia" w:ascii="仿宋" w:hAnsi="仿宋" w:eastAsia="仿宋"/>
                <w:kern w:val="0"/>
                <w:szCs w:val="21"/>
                <w:shd w:val="clear" w:color="auto" w:fill="FFFFFF"/>
              </w:rPr>
              <w:t>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default" w:ascii="仿宋" w:hAnsi="仿宋" w:eastAsia="仿宋"/>
                <w:kern w:val="0"/>
                <w:szCs w:val="21"/>
                <w:shd w:val="clear" w:color="auto" w:fill="FFFFFF"/>
                <w:lang w:val="en-US"/>
              </w:rPr>
            </w:pPr>
            <w:r>
              <w:rPr>
                <w:rFonts w:hint="eastAsia" w:ascii="仿宋" w:hAnsi="仿宋" w:eastAsia="仿宋"/>
                <w:kern w:val="0"/>
                <w:szCs w:val="21"/>
                <w:shd w:val="clear" w:color="auto" w:fill="FFFFFF"/>
                <w:lang w:val="en-US" w:eastAsia="zh-CN"/>
              </w:rPr>
              <w:t>C1188321000100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highlight w:val="none"/>
                <w:lang w:eastAsia="zh-CN"/>
              </w:rPr>
              <w:t>50,000,000.00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w:t>
            </w:r>
            <w:r>
              <w:rPr>
                <w:rFonts w:ascii="仿宋" w:hAnsi="仿宋" w:eastAsia="仿宋"/>
                <w:szCs w:val="21"/>
                <w:shd w:val="clear" w:color="auto" w:fill="FFFFFF"/>
              </w:rPr>
              <w:t>.</w:t>
            </w:r>
            <w:r>
              <w:rPr>
                <w:rFonts w:hint="eastAsia" w:ascii="仿宋" w:hAnsi="仿宋" w:eastAsia="仿宋"/>
                <w:szCs w:val="21"/>
                <w:shd w:val="clear" w:color="auto" w:fill="FFFFFF"/>
                <w:lang w:val="en-US" w:eastAsia="zh-CN"/>
              </w:rPr>
              <w:t>3</w:t>
            </w:r>
            <w:r>
              <w:rPr>
                <w:rFonts w:ascii="仿宋" w:hAnsi="仿宋" w:eastAsia="仿宋"/>
                <w:szCs w:val="21"/>
                <w:shd w:val="clear" w:color="auto" w:fill="FFFFFF"/>
              </w:rPr>
              <w:t>0</w:t>
            </w:r>
            <w:r>
              <w:rPr>
                <w:rFonts w:hint="eastAsia" w:ascii="仿宋" w:hAnsi="仿宋" w:eastAsia="仿宋"/>
                <w:szCs w:val="21"/>
                <w:shd w:val="clear" w:color="auto" w:fill="FFFFFF"/>
              </w:rPr>
              <w:t>%/年，固定管理费0</w:t>
            </w:r>
            <w:r>
              <w:rPr>
                <w:rFonts w:ascii="仿宋" w:hAnsi="仿宋" w:eastAsia="仿宋"/>
                <w:szCs w:val="21"/>
                <w:shd w:val="clear" w:color="auto" w:fill="FFFFFF"/>
              </w:rPr>
              <w:t>.30</w:t>
            </w:r>
            <w:r>
              <w:rPr>
                <w:rFonts w:hint="eastAsia" w:ascii="仿宋" w:hAnsi="仿宋" w:eastAsia="仿宋"/>
                <w:szCs w:val="21"/>
                <w:shd w:val="clear" w:color="auto" w:fill="FFFFFF"/>
              </w:rPr>
              <w:t>%/年、固定托管费0</w:t>
            </w:r>
            <w:r>
              <w:rPr>
                <w:rFonts w:ascii="仿宋" w:hAnsi="仿宋" w:eastAsia="仿宋"/>
                <w:szCs w:val="21"/>
                <w:shd w:val="clear" w:color="auto" w:fill="FFFFFF"/>
              </w:rPr>
              <w:t>.0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2021年09月23日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2023年09月21日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5.10%-5.60</w:t>
            </w:r>
            <w:r>
              <w:rPr>
                <w:rFonts w:hint="eastAsia" w:ascii="仿宋" w:hAnsi="仿宋" w:eastAsia="仿宋"/>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33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兴业银行股份有限公司贵阳分行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trPr>
        <w:tc>
          <w:tcPr>
            <w:tcW w:w="282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33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户名：贵阳农村商业银行股份有限公司超值宝2年17期</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账号：602010100100739744</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兴业银行股份有限公司贵阳分行</w:t>
            </w:r>
          </w:p>
        </w:tc>
      </w:tr>
    </w:tbl>
    <w:p>
      <w:pPr>
        <w:spacing w:before="156" w:beforeLines="50" w:after="156" w:afterLines="50" w:line="360" w:lineRule="auto"/>
        <w:rPr>
          <w:rFonts w:ascii="仿宋" w:hAnsi="仿宋" w:eastAsia="仿宋"/>
          <w:b/>
        </w:rPr>
      </w:pPr>
    </w:p>
    <w:p>
      <w:pPr>
        <w:widowControl/>
        <w:jc w:val="center"/>
        <w:rPr>
          <w:rFonts w:hint="eastAsia" w:ascii="黑体" w:hAnsi="黑体" w:eastAsia="黑体"/>
          <w:sz w:val="24"/>
          <w:szCs w:val="24"/>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7</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9</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-81,615.83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lang w:val="en-US" w:eastAsia="zh-CN"/>
              </w:rPr>
              <w:t>987,432.67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rPr>
              <w:t>53,513,132.28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1.0703</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ascii="仿宋" w:hAnsi="仿宋" w:eastAsia="仿宋"/>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rPr>
          <w:rFonts w:ascii="仿宋" w:hAnsi="仿宋" w:eastAsia="仿宋"/>
        </w:rPr>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pP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rPr>
          <w:rFonts w:ascii="仿宋" w:hAnsi="仿宋" w:eastAsia="仿宋"/>
        </w:rPr>
      </w:pPr>
      <w:r>
        <w:rPr>
          <w:rFonts w:hint="eastAsia" w:ascii="仿宋" w:hAnsi="仿宋" w:eastAsia="仿宋"/>
          <w:lang w:val="en-US" w:eastAsia="zh-CN"/>
        </w:rPr>
        <w:t>3.2.1本期产品净值走势图</w:t>
      </w:r>
    </w:p>
    <w:p>
      <w:pPr>
        <w:spacing w:line="240" w:lineRule="auto"/>
        <w:rPr>
          <w:rFonts w:ascii="仿宋" w:hAnsi="仿宋" w:eastAsia="仿宋"/>
        </w:rPr>
      </w:pPr>
      <w:r>
        <w:rPr>
          <w:rFonts w:hint="default"/>
          <w:sz w:val="24"/>
        </w:rPr>
        <w:t xml:space="preserve"> </w:t>
      </w:r>
      <w:r>
        <w:drawing>
          <wp:inline distT="0" distB="0" distL="114300" distR="114300">
            <wp:extent cx="4629150" cy="2457450"/>
            <wp:effectExtent l="4445" t="5080" r="14605" b="13970"/>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p>
      <w:pPr>
        <w:spacing w:before="156" w:beforeLines="50" w:line="360" w:lineRule="exact"/>
        <w:rPr>
          <w:rFonts w:ascii="仿宋" w:hAnsi="仿宋" w:eastAsia="仿宋"/>
        </w:rPr>
      </w:pPr>
    </w:p>
    <w:tbl>
      <w:tblPr>
        <w:tblStyle w:val="10"/>
        <w:tblW w:w="8891"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7</w:t>
            </w:r>
            <w:r>
              <w:rPr>
                <w:rFonts w:hint="eastAsia" w:ascii="仿宋" w:hAnsi="仿宋" w:eastAsia="仿宋"/>
              </w:rPr>
              <w:t>-1至2022-</w:t>
            </w:r>
            <w:r>
              <w:rPr>
                <w:rFonts w:hint="eastAsia" w:ascii="仿宋" w:hAnsi="仿宋" w:eastAsia="仿宋"/>
                <w:lang w:val="en-US" w:eastAsia="zh-CN"/>
              </w:rPr>
              <w:t>9</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1.88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highlight w:val="yellow"/>
                <w:lang w:val="en-US" w:eastAsia="zh-CN"/>
              </w:rPr>
            </w:pPr>
            <w:r>
              <w:rPr>
                <w:rFonts w:hint="eastAsia" w:ascii="仿宋" w:hAnsi="仿宋" w:eastAsia="仿宋" w:cs="仿宋"/>
                <w:i w:val="0"/>
                <w:color w:val="000000"/>
                <w:kern w:val="0"/>
                <w:sz w:val="22"/>
                <w:szCs w:val="22"/>
                <w:u w:val="none"/>
                <w:lang w:val="en-US" w:eastAsia="zh-CN" w:bidi="ar"/>
              </w:rPr>
              <w:t xml:space="preserve">1.29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7.03 </w:t>
            </w:r>
          </w:p>
        </w:tc>
        <w:tc>
          <w:tcPr>
            <w:tcW w:w="3560" w:type="dxa"/>
            <w:vAlign w:val="center"/>
          </w:tcPr>
          <w:p>
            <w:pPr>
              <w:keepNext w:val="0"/>
              <w:keepLines w:val="0"/>
              <w:widowControl/>
              <w:suppressLineNumbers w:val="0"/>
              <w:jc w:val="center"/>
              <w:textAlignment w:val="center"/>
              <w:rPr>
                <w:rFonts w:hint="eastAsia" w:ascii="仿宋" w:hAnsi="仿宋" w:eastAsia="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5.21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hint="default"/>
          <w:sz w:val="24"/>
        </w:rPr>
        <w:t xml:space="preserve"> </w:t>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w:t>
      </w:r>
      <w:r>
        <w:rPr>
          <w:rFonts w:hint="eastAsia" w:ascii="仿宋" w:hAnsi="仿宋" w:eastAsia="仿宋"/>
          <w:color w:val="000000"/>
          <w:szCs w:val="21"/>
          <w:lang w:val="en-US" w:eastAsia="zh-CN"/>
        </w:rPr>
        <w:t>21</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0.54</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09</w:t>
      </w:r>
      <w:r>
        <w:rPr>
          <w:rFonts w:hint="eastAsia" w:ascii="仿宋" w:hAnsi="仿宋" w:eastAsia="仿宋"/>
          <w:color w:val="000000"/>
          <w:szCs w:val="21"/>
        </w:rPr>
        <w:t>月</w:t>
      </w:r>
      <w:r>
        <w:rPr>
          <w:rFonts w:hint="eastAsia" w:ascii="仿宋" w:hAnsi="仿宋" w:eastAsia="仿宋"/>
          <w:color w:val="000000"/>
          <w:szCs w:val="21"/>
          <w:lang w:val="en-US" w:eastAsia="zh-CN"/>
        </w:rPr>
        <w:t>30</w:t>
      </w:r>
      <w:r>
        <w:rPr>
          <w:rFonts w:hint="eastAsia" w:ascii="仿宋" w:hAnsi="仿宋" w:eastAsia="仿宋"/>
          <w:color w:val="000000"/>
          <w:szCs w:val="21"/>
        </w:rPr>
        <w:t>日，净值</w:t>
      </w:r>
      <w:r>
        <w:rPr>
          <w:rFonts w:hint="eastAsia" w:ascii="仿宋" w:hAnsi="仿宋" w:eastAsia="仿宋"/>
          <w:szCs w:val="21"/>
          <w:shd w:val="clear" w:color="auto" w:fill="FFFFFF"/>
        </w:rPr>
        <w:t>1.0703</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rPr>
        <w:t>1.</w:t>
      </w:r>
      <w:r>
        <w:rPr>
          <w:rFonts w:hint="eastAsia" w:ascii="仿宋" w:hAnsi="仿宋" w:eastAsia="仿宋"/>
          <w:color w:val="000000"/>
          <w:szCs w:val="21"/>
          <w:lang w:val="en-US" w:eastAsia="zh-CN"/>
        </w:rPr>
        <w:t>88</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szCs w:val="21"/>
                <w:lang w:val="en-US" w:eastAsia="zh-CN"/>
              </w:rPr>
            </w:pPr>
            <w:r>
              <w:rPr>
                <w:rFonts w:hint="eastAsia" w:ascii="仿宋" w:hAnsi="仿宋" w:eastAsia="仿宋"/>
                <w:szCs w:val="21"/>
                <w:lang w:val="en-US" w:eastAsia="zh-CN"/>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鑫沅鑫梅花456号计划</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53,831,914.11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Pr>
          <w:p>
            <w:pPr>
              <w:jc w:val="center"/>
              <w:rPr>
                <w:rFonts w:hint="eastAsia" w:ascii="仿宋" w:hAnsi="仿宋" w:eastAsia="仿宋"/>
                <w:szCs w:val="21"/>
                <w:lang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53,831,914.11</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53,831,914.11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2,437.05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r>
              <w:rPr>
                <w:rFonts w:hint="eastAsia" w:ascii="仿宋" w:hAnsi="仿宋" w:eastAsia="仿宋"/>
                <w:szCs w:val="21"/>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rPr>
            </w:pPr>
            <w:r>
              <w:rPr>
                <w:rFonts w:hint="eastAsia" w:ascii="仿宋" w:hAnsi="仿宋" w:eastAsia="仿宋" w:cs="仿宋"/>
                <w:i w:val="0"/>
                <w:color w:val="auto"/>
                <w:kern w:val="0"/>
                <w:sz w:val="21"/>
                <w:szCs w:val="21"/>
                <w:u w:val="none"/>
                <w:lang w:val="en-US" w:eastAsia="zh-CN" w:bidi="ar"/>
              </w:rPr>
              <w:t xml:space="preserve">0.20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53,834,351.36</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51,929,585.09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96.46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150,912.92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0.28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1,751,416.10</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53,831,914.11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hint="eastAsia" w:ascii="仿宋" w:hAnsi="仿宋" w:eastAsia="仿宋"/>
          <w:lang w:eastAsia="zh-CN"/>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21安投01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3,133,259.44</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5.82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20铜开01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2,181,032.10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4.05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19遵经02</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2,144,561.96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3.98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1,566,581.46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2.91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20遵旅01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1,534,935.18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20贵产01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1,522,592.77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S20盘旅</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1,506,305.13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20花竹01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1,375,219.78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20文旅01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1,342,373.04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1,309,215.63</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2.43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color w:val="auto"/>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17,616,076.48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32.72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pPr>
        <w:rPr>
          <w:rFonts w:hint="eastAsia" w:ascii="仿宋" w:hAnsi="仿宋" w:eastAsia="仿宋"/>
          <w:color w:val="000000"/>
          <w:szCs w:val="21"/>
          <w:lang w:eastAsia="zh-CN"/>
        </w:rPr>
      </w:pPr>
      <w:r>
        <w:rPr>
          <w:rFonts w:hint="eastAsia" w:ascii="宋体"/>
        </w:rPr>
        <w:tab/>
      </w:r>
      <w:r>
        <w:rPr>
          <w:rFonts w:hint="eastAsia" w:ascii="仿宋" w:hAnsi="仿宋" w:eastAsia="仿宋"/>
          <w:color w:val="000000"/>
          <w:szCs w:val="21"/>
        </w:rPr>
        <w:t>本报告期内，本计划</w:t>
      </w:r>
      <w:r>
        <w:rPr>
          <w:rFonts w:hint="eastAsia" w:ascii="仿宋" w:hAnsi="仿宋" w:eastAsia="仿宋"/>
          <w:color w:val="000000"/>
          <w:szCs w:val="21"/>
          <w:lang w:eastAsia="zh-CN"/>
        </w:rPr>
        <w:t>未</w:t>
      </w:r>
      <w:r>
        <w:rPr>
          <w:rFonts w:hint="eastAsia" w:ascii="仿宋" w:hAnsi="仿宋" w:eastAsia="仿宋"/>
          <w:color w:val="000000"/>
          <w:szCs w:val="21"/>
        </w:rPr>
        <w:t>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val="en-US"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val="en-US" w:eastAsia="zh-CN"/>
        </w:rPr>
        <w:t>88115057</w:t>
      </w:r>
    </w:p>
    <w:p>
      <w:pPr>
        <w:jc w:val="both"/>
        <w:rPr>
          <w:rFonts w:hint="eastAsia" w:ascii="仿宋" w:hAnsi="仿宋" w:eastAsia="仿宋"/>
          <w:color w:val="000000"/>
          <w:szCs w:val="21"/>
        </w:rPr>
      </w:pPr>
    </w:p>
    <w:p>
      <w:pPr>
        <w:jc w:val="both"/>
        <w:rPr>
          <w:rFonts w:hint="eastAsia" w:ascii="仿宋" w:hAnsi="仿宋" w:eastAsia="仿宋"/>
          <w:color w:val="000000"/>
          <w:szCs w:val="21"/>
        </w:rPr>
      </w:pPr>
    </w:p>
    <w:p>
      <w:pPr>
        <w:ind w:firstLine="420" w:firstLineChars="0"/>
        <w:jc w:val="both"/>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10</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 xml:space="preserve">日 </w:t>
      </w:r>
    </w:p>
    <w:p>
      <w:pPr>
        <w:spacing w:line="360" w:lineRule="auto"/>
        <w:jc w:val="right"/>
        <w:rPr>
          <w:rFonts w:hint="eastAsia" w:ascii="宋体" w:hAnsi="宋体"/>
          <w:szCs w:val="21"/>
        </w:rPr>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24930" o:spid="_x0000_s2049" o:spt="136" type="#_x0000_t136" style="position:absolute;left:0pt;height:105.85pt;width:481.4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dit="readOnly" w:enforcement="1" w:cryptProviderType="rsaFull" w:cryptAlgorithmClass="hash" w:cryptAlgorithmType="typeAny" w:cryptAlgorithmSid="4" w:cryptSpinCount="0" w:hash="HkuA4jEhh9XWgLJNpX1rufNuoxk=" w:salt="9iwUczrpn02rP15JrQAvNQ=="/>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U1tzQ0sTS1MDOwNLBQ0lEKTi0uzszPAykwqQUAmMDUSiwAAAA="/>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5581092"/>
    <w:rsid w:val="05A14D31"/>
    <w:rsid w:val="05AE26D9"/>
    <w:rsid w:val="077D1837"/>
    <w:rsid w:val="08B75E97"/>
    <w:rsid w:val="09551EE9"/>
    <w:rsid w:val="09860979"/>
    <w:rsid w:val="0A626B8A"/>
    <w:rsid w:val="0B4E5F18"/>
    <w:rsid w:val="0B734E2E"/>
    <w:rsid w:val="0D901766"/>
    <w:rsid w:val="119D38F4"/>
    <w:rsid w:val="11F52987"/>
    <w:rsid w:val="12DA60B7"/>
    <w:rsid w:val="1322763E"/>
    <w:rsid w:val="13A3270E"/>
    <w:rsid w:val="15271F3C"/>
    <w:rsid w:val="153D2966"/>
    <w:rsid w:val="17E41503"/>
    <w:rsid w:val="197A16EE"/>
    <w:rsid w:val="1B405FCF"/>
    <w:rsid w:val="1C0E51DF"/>
    <w:rsid w:val="1F4B240C"/>
    <w:rsid w:val="2A3A53F1"/>
    <w:rsid w:val="2F4671E3"/>
    <w:rsid w:val="33C40040"/>
    <w:rsid w:val="33D7601B"/>
    <w:rsid w:val="342153CB"/>
    <w:rsid w:val="34296D79"/>
    <w:rsid w:val="364E3C44"/>
    <w:rsid w:val="38D97024"/>
    <w:rsid w:val="38E926E9"/>
    <w:rsid w:val="3B520599"/>
    <w:rsid w:val="3C321C70"/>
    <w:rsid w:val="3D320D98"/>
    <w:rsid w:val="4264087B"/>
    <w:rsid w:val="42FF6865"/>
    <w:rsid w:val="43BA1E98"/>
    <w:rsid w:val="43F3566A"/>
    <w:rsid w:val="44FC1717"/>
    <w:rsid w:val="457A406E"/>
    <w:rsid w:val="466D0831"/>
    <w:rsid w:val="46CD3A39"/>
    <w:rsid w:val="47BD4D02"/>
    <w:rsid w:val="48E8631C"/>
    <w:rsid w:val="49D806A7"/>
    <w:rsid w:val="49FA15B3"/>
    <w:rsid w:val="4D870C30"/>
    <w:rsid w:val="4DC7164B"/>
    <w:rsid w:val="4FE31BB9"/>
    <w:rsid w:val="51366883"/>
    <w:rsid w:val="51A03B59"/>
    <w:rsid w:val="57B47E4D"/>
    <w:rsid w:val="5E660FCE"/>
    <w:rsid w:val="5E7A0124"/>
    <w:rsid w:val="62446D78"/>
    <w:rsid w:val="6ADF2498"/>
    <w:rsid w:val="6AF71159"/>
    <w:rsid w:val="6CB373DA"/>
    <w:rsid w:val="6F8C2174"/>
    <w:rsid w:val="705B15C4"/>
    <w:rsid w:val="73083B4A"/>
    <w:rsid w:val="73181AE2"/>
    <w:rsid w:val="737F3265"/>
    <w:rsid w:val="73E97FF0"/>
    <w:rsid w:val="757F3635"/>
    <w:rsid w:val="779243CC"/>
    <w:rsid w:val="78407E53"/>
    <w:rsid w:val="78451F9B"/>
    <w:rsid w:val="798D2AE9"/>
    <w:rsid w:val="7B646A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7"/>
    <w:qFormat/>
    <w:uiPriority w:val="0"/>
    <w:pPr>
      <w:keepNext/>
      <w:keepLines/>
      <w:spacing w:before="340" w:after="330" w:line="576" w:lineRule="auto"/>
      <w:outlineLvl w:val="0"/>
    </w:pPr>
    <w:rPr>
      <w:b/>
      <w:kern w:val="44"/>
      <w:sz w:val="44"/>
    </w:rPr>
  </w:style>
  <w:style w:type="paragraph" w:styleId="3">
    <w:name w:val="heading 2"/>
    <w:basedOn w:val="1"/>
    <w:next w:val="1"/>
    <w:link w:val="18"/>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9"/>
    <w:unhideWhenUsed/>
    <w:qFormat/>
    <w:uiPriority w:val="0"/>
    <w:pPr>
      <w:jc w:val="left"/>
    </w:pPr>
    <w:rPr>
      <w:rFonts w:ascii="Calibri" w:hAnsi="Calibri" w:cs="黑体"/>
      <w:szCs w:val="22"/>
    </w:rPr>
  </w:style>
  <w:style w:type="paragraph" w:styleId="5">
    <w:name w:val="Body Text"/>
    <w:basedOn w:val="1"/>
    <w:link w:val="22"/>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4"/>
    <w:unhideWhenUsed/>
    <w:qFormat/>
    <w:uiPriority w:val="99"/>
    <w:rPr>
      <w:sz w:val="18"/>
      <w:szCs w:val="18"/>
    </w:rPr>
  </w:style>
  <w:style w:type="paragraph" w:styleId="7">
    <w:name w:val="footer"/>
    <w:basedOn w:val="1"/>
    <w:link w:val="21"/>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3"/>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FollowedHyperlink"/>
    <w:basedOn w:val="12"/>
    <w:semiHidden/>
    <w:unhideWhenUsed/>
    <w:qFormat/>
    <w:uiPriority w:val="0"/>
    <w:rPr>
      <w:color w:val="000066"/>
      <w:sz w:val="18"/>
      <w:szCs w:val="18"/>
      <w:u w:val="single"/>
    </w:rPr>
  </w:style>
  <w:style w:type="character" w:styleId="14">
    <w:name w:val="Hyperlink"/>
    <w:basedOn w:val="12"/>
    <w:semiHidden/>
    <w:unhideWhenUsed/>
    <w:qFormat/>
    <w:uiPriority w:val="0"/>
    <w:rPr>
      <w:color w:val="000066"/>
      <w:sz w:val="18"/>
      <w:szCs w:val="18"/>
      <w:u w:val="single"/>
    </w:rPr>
  </w:style>
  <w:style w:type="character" w:styleId="15">
    <w:name w:val="annotation reference"/>
    <w:unhideWhenUsed/>
    <w:qFormat/>
    <w:uiPriority w:val="0"/>
    <w:rPr>
      <w:sz w:val="21"/>
    </w:rPr>
  </w:style>
  <w:style w:type="paragraph" w:customStyle="1" w:styleId="16">
    <w:name w:val="Table Paragraph"/>
    <w:basedOn w:val="1"/>
    <w:qFormat/>
    <w:uiPriority w:val="1"/>
    <w:pPr>
      <w:jc w:val="left"/>
    </w:pPr>
    <w:rPr>
      <w:kern w:val="0"/>
      <w:sz w:val="22"/>
      <w:lang w:eastAsia="en-US"/>
    </w:rPr>
  </w:style>
  <w:style w:type="character" w:customStyle="1" w:styleId="17">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8">
    <w:name w:val="标题 2 字符"/>
    <w:basedOn w:val="12"/>
    <w:link w:val="3"/>
    <w:semiHidden/>
    <w:qFormat/>
    <w:locked/>
    <w:uiPriority w:val="0"/>
    <w:rPr>
      <w:rFonts w:hint="default" w:ascii="Arial" w:hAnsi="Arial" w:eastAsia="黑体" w:cs="Times New Roman"/>
      <w:b/>
      <w:sz w:val="32"/>
      <w:szCs w:val="20"/>
    </w:rPr>
  </w:style>
  <w:style w:type="character" w:customStyle="1" w:styleId="19">
    <w:name w:val="批注文字 字符"/>
    <w:link w:val="4"/>
    <w:semiHidden/>
    <w:qFormat/>
    <w:locked/>
    <w:uiPriority w:val="0"/>
    <w:rPr>
      <w:rFonts w:hint="eastAsia" w:ascii="宋体" w:hAnsi="宋体" w:eastAsia="宋体"/>
    </w:rPr>
  </w:style>
  <w:style w:type="character" w:customStyle="1" w:styleId="20">
    <w:name w:val="页眉 字符"/>
    <w:basedOn w:val="12"/>
    <w:link w:val="8"/>
    <w:qFormat/>
    <w:locked/>
    <w:uiPriority w:val="99"/>
    <w:rPr>
      <w:sz w:val="18"/>
      <w:szCs w:val="18"/>
    </w:rPr>
  </w:style>
  <w:style w:type="character" w:customStyle="1" w:styleId="21">
    <w:name w:val="页脚 字符"/>
    <w:basedOn w:val="12"/>
    <w:link w:val="7"/>
    <w:qFormat/>
    <w:locked/>
    <w:uiPriority w:val="99"/>
    <w:rPr>
      <w:sz w:val="18"/>
      <w:szCs w:val="18"/>
    </w:rPr>
  </w:style>
  <w:style w:type="character" w:customStyle="1" w:styleId="22">
    <w:name w:val="正文文本 字符"/>
    <w:basedOn w:val="12"/>
    <w:link w:val="5"/>
    <w:semiHidden/>
    <w:qFormat/>
    <w:locked/>
    <w:uiPriority w:val="1"/>
    <w:rPr>
      <w:rFonts w:hint="eastAsia" w:ascii="宋体" w:hAnsi="宋体" w:eastAsia="宋体"/>
      <w:sz w:val="18"/>
      <w:szCs w:val="18"/>
      <w:lang w:eastAsia="en-US"/>
    </w:rPr>
  </w:style>
  <w:style w:type="character" w:customStyle="1" w:styleId="23">
    <w:name w:val="批注主题 字符"/>
    <w:basedOn w:val="19"/>
    <w:link w:val="9"/>
    <w:semiHidden/>
    <w:qFormat/>
    <w:locked/>
    <w:uiPriority w:val="99"/>
    <w:rPr>
      <w:rFonts w:hint="default" w:ascii="Times New Roman" w:hAnsi="Times New Roman" w:eastAsia="宋体" w:cs="Times New Roman"/>
      <w:b/>
      <w:bCs/>
      <w:kern w:val="2"/>
      <w:sz w:val="21"/>
    </w:rPr>
  </w:style>
  <w:style w:type="character" w:customStyle="1" w:styleId="24">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5">
    <w:name w:val="批注文字 Char1"/>
    <w:basedOn w:val="12"/>
    <w:semiHidden/>
    <w:qFormat/>
    <w:uiPriority w:val="99"/>
    <w:rPr>
      <w:rFonts w:hint="default"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'[走势图.xlsx]3季度'!$B$1:$B$92</c:f>
              <c:numCache>
                <c:formatCode>General</c:formatCode>
                <c:ptCount val="92"/>
                <c:pt idx="0">
                  <c:v>1.051</c:v>
                </c:pt>
                <c:pt idx="1">
                  <c:v>1.0509</c:v>
                </c:pt>
                <c:pt idx="2">
                  <c:v>1.0509</c:v>
                </c:pt>
                <c:pt idx="3">
                  <c:v>1.0515</c:v>
                </c:pt>
                <c:pt idx="4">
                  <c:v>1.0515</c:v>
                </c:pt>
                <c:pt idx="5">
                  <c:v>1.0518</c:v>
                </c:pt>
                <c:pt idx="6">
                  <c:v>1.0521</c:v>
                </c:pt>
                <c:pt idx="7">
                  <c:v>1.0525</c:v>
                </c:pt>
                <c:pt idx="8">
                  <c:v>1.0525</c:v>
                </c:pt>
                <c:pt idx="9">
                  <c:v>1.0525</c:v>
                </c:pt>
                <c:pt idx="10">
                  <c:v>1.0531</c:v>
                </c:pt>
                <c:pt idx="11">
                  <c:v>1.0535</c:v>
                </c:pt>
                <c:pt idx="12">
                  <c:v>1.0541</c:v>
                </c:pt>
                <c:pt idx="13">
                  <c:v>1.0545</c:v>
                </c:pt>
                <c:pt idx="14">
                  <c:v>1.055</c:v>
                </c:pt>
                <c:pt idx="15">
                  <c:v>1.055</c:v>
                </c:pt>
                <c:pt idx="16">
                  <c:v>1.0549</c:v>
                </c:pt>
                <c:pt idx="17">
                  <c:v>1.0559</c:v>
                </c:pt>
                <c:pt idx="18">
                  <c:v>1.0565</c:v>
                </c:pt>
                <c:pt idx="19">
                  <c:v>1.0568</c:v>
                </c:pt>
                <c:pt idx="20">
                  <c:v>1.0563</c:v>
                </c:pt>
                <c:pt idx="21">
                  <c:v>1.0566</c:v>
                </c:pt>
                <c:pt idx="22">
                  <c:v>1.0566</c:v>
                </c:pt>
                <c:pt idx="23">
                  <c:v>1.0566</c:v>
                </c:pt>
                <c:pt idx="24">
                  <c:v>1.0573</c:v>
                </c:pt>
                <c:pt idx="25">
                  <c:v>1.0577</c:v>
                </c:pt>
                <c:pt idx="26">
                  <c:v>1.0585</c:v>
                </c:pt>
                <c:pt idx="27">
                  <c:v>1.0586</c:v>
                </c:pt>
                <c:pt idx="28">
                  <c:v>1.0585</c:v>
                </c:pt>
                <c:pt idx="29">
                  <c:v>1.0585</c:v>
                </c:pt>
                <c:pt idx="30">
                  <c:v>1.0588</c:v>
                </c:pt>
                <c:pt idx="31">
                  <c:v>1.0595</c:v>
                </c:pt>
                <c:pt idx="32">
                  <c:v>1.0599</c:v>
                </c:pt>
                <c:pt idx="33">
                  <c:v>1.0604</c:v>
                </c:pt>
                <c:pt idx="34">
                  <c:v>1.0609</c:v>
                </c:pt>
                <c:pt idx="35">
                  <c:v>1.0609</c:v>
                </c:pt>
                <c:pt idx="36">
                  <c:v>1.0609</c:v>
                </c:pt>
                <c:pt idx="37">
                  <c:v>1.0609</c:v>
                </c:pt>
                <c:pt idx="38">
                  <c:v>1.0612</c:v>
                </c:pt>
                <c:pt idx="39">
                  <c:v>1.0614</c:v>
                </c:pt>
                <c:pt idx="40">
                  <c:v>1.0616</c:v>
                </c:pt>
                <c:pt idx="41">
                  <c:v>1.0614</c:v>
                </c:pt>
                <c:pt idx="42">
                  <c:v>1.0616</c:v>
                </c:pt>
                <c:pt idx="43">
                  <c:v>1.0616</c:v>
                </c:pt>
                <c:pt idx="44">
                  <c:v>1.0616</c:v>
                </c:pt>
                <c:pt idx="45">
                  <c:v>1.0629</c:v>
                </c:pt>
                <c:pt idx="46">
                  <c:v>1.0637</c:v>
                </c:pt>
                <c:pt idx="47">
                  <c:v>1.0638</c:v>
                </c:pt>
                <c:pt idx="48">
                  <c:v>1.0642</c:v>
                </c:pt>
                <c:pt idx="49">
                  <c:v>1.0644</c:v>
                </c:pt>
                <c:pt idx="50">
                  <c:v>1.0644</c:v>
                </c:pt>
                <c:pt idx="51">
                  <c:v>1.0644</c:v>
                </c:pt>
                <c:pt idx="52">
                  <c:v>1.0651</c:v>
                </c:pt>
                <c:pt idx="53">
                  <c:v>1.0652</c:v>
                </c:pt>
                <c:pt idx="54">
                  <c:v>1.0655</c:v>
                </c:pt>
                <c:pt idx="55">
                  <c:v>1.0651</c:v>
                </c:pt>
                <c:pt idx="56">
                  <c:v>1.065</c:v>
                </c:pt>
                <c:pt idx="57">
                  <c:v>1.0649</c:v>
                </c:pt>
                <c:pt idx="58">
                  <c:v>1.0649</c:v>
                </c:pt>
                <c:pt idx="59">
                  <c:v>1.0651</c:v>
                </c:pt>
                <c:pt idx="60">
                  <c:v>1.0651</c:v>
                </c:pt>
                <c:pt idx="61">
                  <c:v>1.0649</c:v>
                </c:pt>
                <c:pt idx="62">
                  <c:v>1.065</c:v>
                </c:pt>
                <c:pt idx="63">
                  <c:v>1.0654</c:v>
                </c:pt>
                <c:pt idx="64">
                  <c:v>1.0654</c:v>
                </c:pt>
                <c:pt idx="65">
                  <c:v>1.0654</c:v>
                </c:pt>
                <c:pt idx="66">
                  <c:v>1.0661</c:v>
                </c:pt>
                <c:pt idx="67">
                  <c:v>1.0664</c:v>
                </c:pt>
                <c:pt idx="68">
                  <c:v>1.0667</c:v>
                </c:pt>
                <c:pt idx="69">
                  <c:v>1.067</c:v>
                </c:pt>
                <c:pt idx="70">
                  <c:v>1.0672</c:v>
                </c:pt>
                <c:pt idx="71">
                  <c:v>1.0672</c:v>
                </c:pt>
                <c:pt idx="72">
                  <c:v>1.0672</c:v>
                </c:pt>
                <c:pt idx="73">
                  <c:v>1.0672</c:v>
                </c:pt>
                <c:pt idx="74">
                  <c:v>1.0679</c:v>
                </c:pt>
                <c:pt idx="75">
                  <c:v>1.068</c:v>
                </c:pt>
                <c:pt idx="76">
                  <c:v>1.0681</c:v>
                </c:pt>
                <c:pt idx="77">
                  <c:v>1.0684</c:v>
                </c:pt>
                <c:pt idx="78">
                  <c:v>1.0684</c:v>
                </c:pt>
                <c:pt idx="79">
                  <c:v>1.0683</c:v>
                </c:pt>
                <c:pt idx="80">
                  <c:v>1.0686</c:v>
                </c:pt>
                <c:pt idx="81">
                  <c:v>1.0689</c:v>
                </c:pt>
                <c:pt idx="82">
                  <c:v>1.0691</c:v>
                </c:pt>
                <c:pt idx="83">
                  <c:v>1.0695</c:v>
                </c:pt>
                <c:pt idx="84">
                  <c:v>1.0696</c:v>
                </c:pt>
                <c:pt idx="85">
                  <c:v>1.0696</c:v>
                </c:pt>
                <c:pt idx="86">
                  <c:v>1.0696</c:v>
                </c:pt>
                <c:pt idx="87">
                  <c:v>1.0701</c:v>
                </c:pt>
                <c:pt idx="88">
                  <c:v>1.07</c:v>
                </c:pt>
                <c:pt idx="89">
                  <c:v>1.0701</c:v>
                </c:pt>
                <c:pt idx="90">
                  <c:v>1.0703</c:v>
                </c:pt>
                <c:pt idx="91">
                  <c:v>1.0703</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'[走势图.xlsx]3季度'!$C$1:$C$92</c:f>
              <c:numCache>
                <c:formatCode>0.00%</c:formatCode>
                <c:ptCount val="92"/>
                <c:pt idx="0">
                  <c:v>0.000475963826749082</c:v>
                </c:pt>
                <c:pt idx="1">
                  <c:v>0.000380771061399221</c:v>
                </c:pt>
                <c:pt idx="2">
                  <c:v>0.000380771061399221</c:v>
                </c:pt>
                <c:pt idx="3">
                  <c:v>0.000951927653498386</c:v>
                </c:pt>
                <c:pt idx="4">
                  <c:v>0.000951927653498386</c:v>
                </c:pt>
                <c:pt idx="5">
                  <c:v>0.00123750594954797</c:v>
                </c:pt>
                <c:pt idx="6">
                  <c:v>0.00152308424559733</c:v>
                </c:pt>
                <c:pt idx="7">
                  <c:v>0.00190385530699677</c:v>
                </c:pt>
                <c:pt idx="8">
                  <c:v>0.00190385530699677</c:v>
                </c:pt>
                <c:pt idx="9">
                  <c:v>0.00190385530699677</c:v>
                </c:pt>
                <c:pt idx="10">
                  <c:v>0.00247501189909571</c:v>
                </c:pt>
                <c:pt idx="11">
                  <c:v>0.00285578296049516</c:v>
                </c:pt>
                <c:pt idx="12">
                  <c:v>0.0034269395525941</c:v>
                </c:pt>
                <c:pt idx="13">
                  <c:v>0.00380771061399332</c:v>
                </c:pt>
                <c:pt idx="14">
                  <c:v>0.0042836744407424</c:v>
                </c:pt>
                <c:pt idx="15">
                  <c:v>0.0042836744407424</c:v>
                </c:pt>
                <c:pt idx="16">
                  <c:v>0.00418848167539254</c:v>
                </c:pt>
                <c:pt idx="17">
                  <c:v>0.00514040932889115</c:v>
                </c:pt>
                <c:pt idx="18">
                  <c:v>0.00571156592099009</c:v>
                </c:pt>
                <c:pt idx="19">
                  <c:v>0.00599714421703945</c:v>
                </c:pt>
                <c:pt idx="20">
                  <c:v>0.00552118039029037</c:v>
                </c:pt>
                <c:pt idx="21">
                  <c:v>0.00580675868633973</c:v>
                </c:pt>
                <c:pt idx="22">
                  <c:v>0.00580675868633973</c:v>
                </c:pt>
                <c:pt idx="23">
                  <c:v>0.00580675868633973</c:v>
                </c:pt>
                <c:pt idx="24">
                  <c:v>0.00647310804378853</c:v>
                </c:pt>
                <c:pt idx="25">
                  <c:v>0.0068538791051882</c:v>
                </c:pt>
                <c:pt idx="26">
                  <c:v>0.00761542122798664</c:v>
                </c:pt>
                <c:pt idx="27">
                  <c:v>0.0077106139933365</c:v>
                </c:pt>
                <c:pt idx="28">
                  <c:v>0.00761542122798664</c:v>
                </c:pt>
                <c:pt idx="29">
                  <c:v>0.00761542122798664</c:v>
                </c:pt>
                <c:pt idx="30">
                  <c:v>0.00790099952403622</c:v>
                </c:pt>
                <c:pt idx="31">
                  <c:v>0.00856734888148503</c:v>
                </c:pt>
                <c:pt idx="32">
                  <c:v>0.00894811994288447</c:v>
                </c:pt>
                <c:pt idx="33">
                  <c:v>0.00942408376963355</c:v>
                </c:pt>
                <c:pt idx="34">
                  <c:v>0.00990004759638263</c:v>
                </c:pt>
                <c:pt idx="35">
                  <c:v>0.00990004759638263</c:v>
                </c:pt>
                <c:pt idx="36">
                  <c:v>0.00990004759638263</c:v>
                </c:pt>
                <c:pt idx="37">
                  <c:v>0.00990004759638263</c:v>
                </c:pt>
                <c:pt idx="38">
                  <c:v>0.0101856258924322</c:v>
                </c:pt>
                <c:pt idx="39">
                  <c:v>0.0103760114231317</c:v>
                </c:pt>
                <c:pt idx="40">
                  <c:v>0.0105663969538317</c:v>
                </c:pt>
                <c:pt idx="41">
                  <c:v>0.0103760114231317</c:v>
                </c:pt>
                <c:pt idx="42">
                  <c:v>0.0105663969538317</c:v>
                </c:pt>
                <c:pt idx="43">
                  <c:v>0.0105663969538317</c:v>
                </c:pt>
                <c:pt idx="44">
                  <c:v>0.0105663969538317</c:v>
                </c:pt>
                <c:pt idx="45">
                  <c:v>0.0118039029033794</c:v>
                </c:pt>
                <c:pt idx="46">
                  <c:v>0.0125654450261781</c:v>
                </c:pt>
                <c:pt idx="47">
                  <c:v>0.0126606377915279</c:v>
                </c:pt>
                <c:pt idx="48">
                  <c:v>0.0130414088529271</c:v>
                </c:pt>
                <c:pt idx="49">
                  <c:v>0.0132317943836269</c:v>
                </c:pt>
                <c:pt idx="50">
                  <c:v>0.0132317943836269</c:v>
                </c:pt>
                <c:pt idx="51">
                  <c:v>0.0132317943836269</c:v>
                </c:pt>
                <c:pt idx="52">
                  <c:v>0.0138981437410757</c:v>
                </c:pt>
                <c:pt idx="53">
                  <c:v>0.0139933365064255</c:v>
                </c:pt>
                <c:pt idx="54">
                  <c:v>0.0142789148024749</c:v>
                </c:pt>
                <c:pt idx="55">
                  <c:v>0.0138981437410757</c:v>
                </c:pt>
                <c:pt idx="56">
                  <c:v>0.0138029509757258</c:v>
                </c:pt>
                <c:pt idx="57">
                  <c:v>0.013707758210376</c:v>
                </c:pt>
                <c:pt idx="58">
                  <c:v>0.013707758210376</c:v>
                </c:pt>
                <c:pt idx="59">
                  <c:v>0.0138981437410757</c:v>
                </c:pt>
                <c:pt idx="60">
                  <c:v>0.0138981437410757</c:v>
                </c:pt>
                <c:pt idx="61">
                  <c:v>0.013707758210376</c:v>
                </c:pt>
                <c:pt idx="62">
                  <c:v>0.0138029509757258</c:v>
                </c:pt>
                <c:pt idx="63">
                  <c:v>0.014183722037125</c:v>
                </c:pt>
                <c:pt idx="64">
                  <c:v>0.014183722037125</c:v>
                </c:pt>
                <c:pt idx="65">
                  <c:v>0.014183722037125</c:v>
                </c:pt>
                <c:pt idx="66">
                  <c:v>0.0148500713945741</c:v>
                </c:pt>
                <c:pt idx="67">
                  <c:v>0.0151356496906236</c:v>
                </c:pt>
                <c:pt idx="68">
                  <c:v>0.015421227986673</c:v>
                </c:pt>
                <c:pt idx="69">
                  <c:v>0.0157068062827226</c:v>
                </c:pt>
                <c:pt idx="70">
                  <c:v>0.0158971918134221</c:v>
                </c:pt>
                <c:pt idx="71">
                  <c:v>0.0158971918134221</c:v>
                </c:pt>
                <c:pt idx="72">
                  <c:v>0.0158971918134221</c:v>
                </c:pt>
                <c:pt idx="73">
                  <c:v>0.0158971918134221</c:v>
                </c:pt>
                <c:pt idx="74">
                  <c:v>0.0165635411708711</c:v>
                </c:pt>
                <c:pt idx="75">
                  <c:v>0.016658733936221</c:v>
                </c:pt>
                <c:pt idx="76">
                  <c:v>0.0167539267015708</c:v>
                </c:pt>
                <c:pt idx="77">
                  <c:v>0.0170395049976202</c:v>
                </c:pt>
                <c:pt idx="78">
                  <c:v>0.0170395049976202</c:v>
                </c:pt>
                <c:pt idx="79">
                  <c:v>0.0169443122322703</c:v>
                </c:pt>
                <c:pt idx="80">
                  <c:v>0.0172298905283199</c:v>
                </c:pt>
                <c:pt idx="81">
                  <c:v>0.0175154688243693</c:v>
                </c:pt>
                <c:pt idx="82">
                  <c:v>0.017705854355069</c:v>
                </c:pt>
                <c:pt idx="83">
                  <c:v>0.0180866254164682</c:v>
                </c:pt>
                <c:pt idx="84">
                  <c:v>0.0181818181818183</c:v>
                </c:pt>
                <c:pt idx="85">
                  <c:v>0.0181818181818183</c:v>
                </c:pt>
                <c:pt idx="86">
                  <c:v>0.0181818181818183</c:v>
                </c:pt>
                <c:pt idx="87">
                  <c:v>0.0186577820085674</c:v>
                </c:pt>
                <c:pt idx="88">
                  <c:v>0.0185625892432175</c:v>
                </c:pt>
                <c:pt idx="89">
                  <c:v>0.0186577820085674</c:v>
                </c:pt>
                <c:pt idx="90">
                  <c:v>0.0188481675392671</c:v>
                </c:pt>
                <c:pt idx="91">
                  <c:v>0.0188481675392671</c:v>
                </c:pt>
              </c:numCache>
            </c:numRef>
          </c:val>
          <c:smooth val="0"/>
        </c:ser>
        <c:ser>
          <c:idx val="1"/>
          <c:order val="1"/>
          <c:tx>
            <c:strRef>
              <c:f>"业绩比较基准收益率"</c:f>
              <c:strCache>
                <c:ptCount val="1"/>
                <c:pt idx="0">
                  <c:v>业绩比较基准收益率</c:v>
                </c:pt>
              </c:strCache>
            </c:strRef>
          </c:tx>
          <c:spPr>
            <a:ln w="28575" cap="rnd">
              <a:solidFill>
                <a:schemeClr val="accent2"/>
              </a:solidFill>
              <a:round/>
            </a:ln>
            <a:effectLst/>
          </c:spPr>
          <c:marker>
            <c:symbol val="none"/>
          </c:marker>
          <c:dLbls>
            <c:delete val="1"/>
          </c:dLbls>
          <c:cat>
            <c:numRef>
              <c:f>'[走势图.xlsx]3季度'!$A$1:$A$92</c:f>
              <c:numCache>
                <c:formatCode>yyyy/m/d</c:formatCode>
                <c:ptCount val="92"/>
                <c:pt idx="0" c:formatCode="yyyy/m/d">
                  <c:v>44743</c:v>
                </c:pt>
                <c:pt idx="1" c:formatCode="yyyy/m/d">
                  <c:v>44744</c:v>
                </c:pt>
                <c:pt idx="2" c:formatCode="yyyy/m/d">
                  <c:v>44745</c:v>
                </c:pt>
                <c:pt idx="3" c:formatCode="yyyy/m/d">
                  <c:v>44746</c:v>
                </c:pt>
                <c:pt idx="4" c:formatCode="yyyy/m/d">
                  <c:v>44747</c:v>
                </c:pt>
                <c:pt idx="5" c:formatCode="yyyy/m/d">
                  <c:v>44748</c:v>
                </c:pt>
                <c:pt idx="6" c:formatCode="yyyy/m/d">
                  <c:v>44749</c:v>
                </c:pt>
                <c:pt idx="7" c:formatCode="yyyy/m/d">
                  <c:v>44750</c:v>
                </c:pt>
                <c:pt idx="8" c:formatCode="yyyy/m/d">
                  <c:v>44751</c:v>
                </c:pt>
                <c:pt idx="9" c:formatCode="yyyy/m/d">
                  <c:v>44752</c:v>
                </c:pt>
                <c:pt idx="10" c:formatCode="yyyy/m/d">
                  <c:v>44753</c:v>
                </c:pt>
                <c:pt idx="11" c:formatCode="yyyy/m/d">
                  <c:v>44754</c:v>
                </c:pt>
                <c:pt idx="12" c:formatCode="yyyy/m/d">
                  <c:v>44755</c:v>
                </c:pt>
                <c:pt idx="13" c:formatCode="yyyy/m/d">
                  <c:v>44756</c:v>
                </c:pt>
                <c:pt idx="14" c:formatCode="yyyy/m/d">
                  <c:v>44757</c:v>
                </c:pt>
                <c:pt idx="15" c:formatCode="yyyy/m/d">
                  <c:v>44758</c:v>
                </c:pt>
                <c:pt idx="16" c:formatCode="yyyy/m/d">
                  <c:v>44759</c:v>
                </c:pt>
                <c:pt idx="17" c:formatCode="yyyy/m/d">
                  <c:v>44760</c:v>
                </c:pt>
                <c:pt idx="18" c:formatCode="yyyy/m/d">
                  <c:v>44761</c:v>
                </c:pt>
                <c:pt idx="19" c:formatCode="yyyy/m/d">
                  <c:v>44762</c:v>
                </c:pt>
                <c:pt idx="20" c:formatCode="yyyy/m/d">
                  <c:v>44763</c:v>
                </c:pt>
                <c:pt idx="21" c:formatCode="yyyy/m/d">
                  <c:v>44764</c:v>
                </c:pt>
                <c:pt idx="22" c:formatCode="yyyy/m/d">
                  <c:v>44765</c:v>
                </c:pt>
                <c:pt idx="23" c:formatCode="yyyy/m/d">
                  <c:v>44766</c:v>
                </c:pt>
                <c:pt idx="24" c:formatCode="yyyy/m/d">
                  <c:v>44767</c:v>
                </c:pt>
                <c:pt idx="25" c:formatCode="yyyy/m/d">
                  <c:v>44768</c:v>
                </c:pt>
                <c:pt idx="26" c:formatCode="yyyy/m/d">
                  <c:v>44769</c:v>
                </c:pt>
                <c:pt idx="27" c:formatCode="yyyy/m/d">
                  <c:v>44770</c:v>
                </c:pt>
                <c:pt idx="28" c:formatCode="yyyy/m/d">
                  <c:v>44771</c:v>
                </c:pt>
                <c:pt idx="29" c:formatCode="yyyy/m/d">
                  <c:v>44772</c:v>
                </c:pt>
                <c:pt idx="30" c:formatCode="yyyy/m/d">
                  <c:v>44773</c:v>
                </c:pt>
                <c:pt idx="31" c:formatCode="yyyy/m/d">
                  <c:v>44774</c:v>
                </c:pt>
                <c:pt idx="32" c:formatCode="yyyy/m/d">
                  <c:v>44775</c:v>
                </c:pt>
                <c:pt idx="33" c:formatCode="yyyy/m/d">
                  <c:v>44776</c:v>
                </c:pt>
                <c:pt idx="34" c:formatCode="yyyy/m/d">
                  <c:v>44777</c:v>
                </c:pt>
                <c:pt idx="35" c:formatCode="yyyy/m/d">
                  <c:v>44778</c:v>
                </c:pt>
                <c:pt idx="36" c:formatCode="yyyy/m/d">
                  <c:v>44779</c:v>
                </c:pt>
                <c:pt idx="37" c:formatCode="yyyy/m/d">
                  <c:v>44780</c:v>
                </c:pt>
                <c:pt idx="38" c:formatCode="yyyy/m/d">
                  <c:v>44781</c:v>
                </c:pt>
                <c:pt idx="39" c:formatCode="yyyy/m/d">
                  <c:v>44782</c:v>
                </c:pt>
                <c:pt idx="40" c:formatCode="yyyy/m/d">
                  <c:v>44783</c:v>
                </c:pt>
                <c:pt idx="41" c:formatCode="yyyy/m/d">
                  <c:v>44784</c:v>
                </c:pt>
                <c:pt idx="42" c:formatCode="yyyy/m/d">
                  <c:v>44785</c:v>
                </c:pt>
                <c:pt idx="43" c:formatCode="yyyy/m/d">
                  <c:v>44786</c:v>
                </c:pt>
                <c:pt idx="44" c:formatCode="yyyy/m/d">
                  <c:v>44787</c:v>
                </c:pt>
                <c:pt idx="45" c:formatCode="yyyy/m/d">
                  <c:v>44788</c:v>
                </c:pt>
                <c:pt idx="46" c:formatCode="yyyy/m/d">
                  <c:v>44789</c:v>
                </c:pt>
                <c:pt idx="47" c:formatCode="yyyy/m/d">
                  <c:v>44790</c:v>
                </c:pt>
                <c:pt idx="48" c:formatCode="yyyy/m/d">
                  <c:v>44791</c:v>
                </c:pt>
                <c:pt idx="49" c:formatCode="yyyy/m/d">
                  <c:v>44792</c:v>
                </c:pt>
                <c:pt idx="50" c:formatCode="yyyy/m/d">
                  <c:v>44793</c:v>
                </c:pt>
                <c:pt idx="51" c:formatCode="yyyy/m/d">
                  <c:v>44794</c:v>
                </c:pt>
                <c:pt idx="52" c:formatCode="yyyy/m/d">
                  <c:v>44795</c:v>
                </c:pt>
                <c:pt idx="53" c:formatCode="yyyy/m/d">
                  <c:v>44796</c:v>
                </c:pt>
                <c:pt idx="54" c:formatCode="yyyy/m/d">
                  <c:v>44797</c:v>
                </c:pt>
                <c:pt idx="55" c:formatCode="yyyy/m/d">
                  <c:v>44798</c:v>
                </c:pt>
                <c:pt idx="56" c:formatCode="yyyy/m/d">
                  <c:v>44799</c:v>
                </c:pt>
                <c:pt idx="57" c:formatCode="yyyy/m/d">
                  <c:v>44800</c:v>
                </c:pt>
                <c:pt idx="58" c:formatCode="yyyy/m/d">
                  <c:v>44801</c:v>
                </c:pt>
                <c:pt idx="59" c:formatCode="yyyy/m/d">
                  <c:v>44802</c:v>
                </c:pt>
                <c:pt idx="60" c:formatCode="yyyy/m/d">
                  <c:v>44803</c:v>
                </c:pt>
                <c:pt idx="61" c:formatCode="yyyy/m/d">
                  <c:v>44804</c:v>
                </c:pt>
                <c:pt idx="62" c:formatCode="yyyy/m/d">
                  <c:v>44805</c:v>
                </c:pt>
                <c:pt idx="63" c:formatCode="yyyy/m/d">
                  <c:v>44806</c:v>
                </c:pt>
                <c:pt idx="64" c:formatCode="yyyy/m/d">
                  <c:v>44807</c:v>
                </c:pt>
                <c:pt idx="65" c:formatCode="yyyy/m/d">
                  <c:v>44808</c:v>
                </c:pt>
                <c:pt idx="66" c:formatCode="yyyy/m/d">
                  <c:v>44809</c:v>
                </c:pt>
                <c:pt idx="67" c:formatCode="yyyy/m/d">
                  <c:v>44810</c:v>
                </c:pt>
                <c:pt idx="68" c:formatCode="yyyy/m/d">
                  <c:v>44811</c:v>
                </c:pt>
                <c:pt idx="69" c:formatCode="yyyy/m/d">
                  <c:v>44812</c:v>
                </c:pt>
                <c:pt idx="70" c:formatCode="yyyy/m/d">
                  <c:v>44813</c:v>
                </c:pt>
                <c:pt idx="71" c:formatCode="yyyy/m/d">
                  <c:v>44814</c:v>
                </c:pt>
                <c:pt idx="72" c:formatCode="yyyy/m/d">
                  <c:v>44815</c:v>
                </c:pt>
                <c:pt idx="73" c:formatCode="yyyy/m/d">
                  <c:v>44816</c:v>
                </c:pt>
                <c:pt idx="74" c:formatCode="yyyy/m/d">
                  <c:v>44817</c:v>
                </c:pt>
                <c:pt idx="75" c:formatCode="yyyy/m/d">
                  <c:v>44818</c:v>
                </c:pt>
                <c:pt idx="76" c:formatCode="yyyy/m/d">
                  <c:v>44819</c:v>
                </c:pt>
                <c:pt idx="77" c:formatCode="yyyy/m/d">
                  <c:v>44820</c:v>
                </c:pt>
                <c:pt idx="78" c:formatCode="yyyy/m/d">
                  <c:v>44821</c:v>
                </c:pt>
                <c:pt idx="79" c:formatCode="yyyy/m/d">
                  <c:v>44822</c:v>
                </c:pt>
                <c:pt idx="80" c:formatCode="yyyy/m/d">
                  <c:v>44823</c:v>
                </c:pt>
                <c:pt idx="81" c:formatCode="yyyy/m/d">
                  <c:v>44824</c:v>
                </c:pt>
                <c:pt idx="82" c:formatCode="yyyy/m/d">
                  <c:v>44825</c:v>
                </c:pt>
                <c:pt idx="83" c:formatCode="yyyy/m/d">
                  <c:v>44826</c:v>
                </c:pt>
                <c:pt idx="84" c:formatCode="yyyy/m/d">
                  <c:v>44827</c:v>
                </c:pt>
                <c:pt idx="85" c:formatCode="yyyy/m/d">
                  <c:v>44828</c:v>
                </c:pt>
                <c:pt idx="86" c:formatCode="yyyy/m/d">
                  <c:v>44829</c:v>
                </c:pt>
                <c:pt idx="87" c:formatCode="yyyy/m/d">
                  <c:v>44830</c:v>
                </c:pt>
                <c:pt idx="88" c:formatCode="yyyy/m/d">
                  <c:v>44831</c:v>
                </c:pt>
                <c:pt idx="89" c:formatCode="yyyy/m/d">
                  <c:v>44832</c:v>
                </c:pt>
                <c:pt idx="90" c:formatCode="yyyy/m/d">
                  <c:v>44833</c:v>
                </c:pt>
                <c:pt idx="91" c:formatCode="yyyy/m/d">
                  <c:v>44834</c:v>
                </c:pt>
              </c:numCache>
            </c:numRef>
          </c:cat>
          <c:val>
            <c:numRef>
              <c:f>'[走势图.xlsx]3季度'!$E$1:$E$92</c:f>
              <c:numCache>
                <c:formatCode>0.00%</c:formatCode>
                <c:ptCount val="92"/>
                <c:pt idx="0">
                  <c:v>0.00013972602739726</c:v>
                </c:pt>
                <c:pt idx="1">
                  <c:v>0.000279452054794521</c:v>
                </c:pt>
                <c:pt idx="2">
                  <c:v>0.000419178082191781</c:v>
                </c:pt>
                <c:pt idx="3">
                  <c:v>0.000558904109589041</c:v>
                </c:pt>
                <c:pt idx="4">
                  <c:v>0.000698630136986301</c:v>
                </c:pt>
                <c:pt idx="5">
                  <c:v>0.000838356164383562</c:v>
                </c:pt>
                <c:pt idx="6">
                  <c:v>0.000978082191780822</c:v>
                </c:pt>
                <c:pt idx="7">
                  <c:v>0.00111780821917808</c:v>
                </c:pt>
                <c:pt idx="8">
                  <c:v>0.00125753424657534</c:v>
                </c:pt>
                <c:pt idx="9">
                  <c:v>0.0013972602739726</c:v>
                </c:pt>
                <c:pt idx="10">
                  <c:v>0.00153698630136986</c:v>
                </c:pt>
                <c:pt idx="11">
                  <c:v>0.00167671232876712</c:v>
                </c:pt>
                <c:pt idx="12">
                  <c:v>0.00181643835616438</c:v>
                </c:pt>
                <c:pt idx="13">
                  <c:v>0.00195616438356164</c:v>
                </c:pt>
                <c:pt idx="14">
                  <c:v>0.0020958904109589</c:v>
                </c:pt>
                <c:pt idx="15">
                  <c:v>0.00223561643835616</c:v>
                </c:pt>
                <c:pt idx="16">
                  <c:v>0.00237534246575342</c:v>
                </c:pt>
                <c:pt idx="17">
                  <c:v>0.00251506849315068</c:v>
                </c:pt>
                <c:pt idx="18">
                  <c:v>0.00265479452054794</c:v>
                </c:pt>
                <c:pt idx="19">
                  <c:v>0.0027945205479452</c:v>
                </c:pt>
                <c:pt idx="20">
                  <c:v>0.00293424657534247</c:v>
                </c:pt>
                <c:pt idx="21">
                  <c:v>0.00307397260273973</c:v>
                </c:pt>
                <c:pt idx="22">
                  <c:v>0.00321369863013699</c:v>
                </c:pt>
                <c:pt idx="23">
                  <c:v>0.00335342465753425</c:v>
                </c:pt>
                <c:pt idx="24">
                  <c:v>0.00349315068493151</c:v>
                </c:pt>
                <c:pt idx="25">
                  <c:v>0.00363287671232877</c:v>
                </c:pt>
                <c:pt idx="26">
                  <c:v>0.00377260273972603</c:v>
                </c:pt>
                <c:pt idx="27">
                  <c:v>0.00391232876712329</c:v>
                </c:pt>
                <c:pt idx="28">
                  <c:v>0.00405205479452055</c:v>
                </c:pt>
                <c:pt idx="29">
                  <c:v>0.00419178082191781</c:v>
                </c:pt>
                <c:pt idx="30">
                  <c:v>0.00433150684931507</c:v>
                </c:pt>
                <c:pt idx="31">
                  <c:v>0.00447123287671233</c:v>
                </c:pt>
                <c:pt idx="32">
                  <c:v>0.00461095890410959</c:v>
                </c:pt>
                <c:pt idx="33">
                  <c:v>0.00475068493150685</c:v>
                </c:pt>
                <c:pt idx="34">
                  <c:v>0.00489041095890411</c:v>
                </c:pt>
                <c:pt idx="35">
                  <c:v>0.00503013698630137</c:v>
                </c:pt>
                <c:pt idx="36">
                  <c:v>0.00516986301369863</c:v>
                </c:pt>
                <c:pt idx="37">
                  <c:v>0.00530958904109589</c:v>
                </c:pt>
                <c:pt idx="38">
                  <c:v>0.00544931506849315</c:v>
                </c:pt>
                <c:pt idx="39">
                  <c:v>0.00558904109589041</c:v>
                </c:pt>
                <c:pt idx="40">
                  <c:v>0.00572876712328767</c:v>
                </c:pt>
                <c:pt idx="41">
                  <c:v>0.00586849315068493</c:v>
                </c:pt>
                <c:pt idx="42">
                  <c:v>0.00600821917808219</c:v>
                </c:pt>
                <c:pt idx="43">
                  <c:v>0.00614794520547945</c:v>
                </c:pt>
                <c:pt idx="44">
                  <c:v>0.00628767123287671</c:v>
                </c:pt>
                <c:pt idx="45">
                  <c:v>0.00642739726027397</c:v>
                </c:pt>
                <c:pt idx="46">
                  <c:v>0.00656712328767123</c:v>
                </c:pt>
                <c:pt idx="47">
                  <c:v>0.00670684931506849</c:v>
                </c:pt>
                <c:pt idx="48">
                  <c:v>0.00684657534246575</c:v>
                </c:pt>
                <c:pt idx="49">
                  <c:v>0.00698630136986301</c:v>
                </c:pt>
                <c:pt idx="50">
                  <c:v>0.00712602739726027</c:v>
                </c:pt>
                <c:pt idx="51">
                  <c:v>0.00726575342465753</c:v>
                </c:pt>
                <c:pt idx="52">
                  <c:v>0.00740547945205479</c:v>
                </c:pt>
                <c:pt idx="53">
                  <c:v>0.00754520547945205</c:v>
                </c:pt>
                <c:pt idx="54">
                  <c:v>0.00768493150684931</c:v>
                </c:pt>
                <c:pt idx="55">
                  <c:v>0.00782465753424657</c:v>
                </c:pt>
                <c:pt idx="56">
                  <c:v>0.00796438356164383</c:v>
                </c:pt>
                <c:pt idx="57">
                  <c:v>0.0081041095890411</c:v>
                </c:pt>
                <c:pt idx="58">
                  <c:v>0.00824383561643835</c:v>
                </c:pt>
                <c:pt idx="59">
                  <c:v>0.00838356164383561</c:v>
                </c:pt>
                <c:pt idx="60">
                  <c:v>0.00852328767123288</c:v>
                </c:pt>
                <c:pt idx="61">
                  <c:v>0.00866301369863014</c:v>
                </c:pt>
                <c:pt idx="62">
                  <c:v>0.0088027397260274</c:v>
                </c:pt>
                <c:pt idx="63">
                  <c:v>0.00894246575342466</c:v>
                </c:pt>
                <c:pt idx="64">
                  <c:v>0.00908219178082192</c:v>
                </c:pt>
                <c:pt idx="65">
                  <c:v>0.00922191780821918</c:v>
                </c:pt>
                <c:pt idx="66">
                  <c:v>0.00936164383561644</c:v>
                </c:pt>
                <c:pt idx="67">
                  <c:v>0.0095013698630137</c:v>
                </c:pt>
                <c:pt idx="68">
                  <c:v>0.00964109589041096</c:v>
                </c:pt>
                <c:pt idx="69">
                  <c:v>0.00978082191780822</c:v>
                </c:pt>
                <c:pt idx="70">
                  <c:v>0.00992054794520548</c:v>
                </c:pt>
                <c:pt idx="71">
                  <c:v>0.0100602739726027</c:v>
                </c:pt>
                <c:pt idx="72">
                  <c:v>0.0102</c:v>
                </c:pt>
                <c:pt idx="73">
                  <c:v>0.0103397260273973</c:v>
                </c:pt>
                <c:pt idx="74">
                  <c:v>0.0104794520547945</c:v>
                </c:pt>
                <c:pt idx="75">
                  <c:v>0.0106191780821918</c:v>
                </c:pt>
                <c:pt idx="76">
                  <c:v>0.010758904109589</c:v>
                </c:pt>
                <c:pt idx="77">
                  <c:v>0.0108986301369863</c:v>
                </c:pt>
                <c:pt idx="78">
                  <c:v>0.0110383561643836</c:v>
                </c:pt>
                <c:pt idx="79">
                  <c:v>0.0111780821917808</c:v>
                </c:pt>
                <c:pt idx="80">
                  <c:v>0.0113178082191781</c:v>
                </c:pt>
                <c:pt idx="81">
                  <c:v>0.0114575342465753</c:v>
                </c:pt>
                <c:pt idx="82">
                  <c:v>0.0115972602739726</c:v>
                </c:pt>
                <c:pt idx="83">
                  <c:v>0.0117369863013699</c:v>
                </c:pt>
                <c:pt idx="84">
                  <c:v>0.0118767123287671</c:v>
                </c:pt>
                <c:pt idx="85">
                  <c:v>0.0120164383561644</c:v>
                </c:pt>
                <c:pt idx="86">
                  <c:v>0.0121561643835616</c:v>
                </c:pt>
                <c:pt idx="87">
                  <c:v>0.0122958904109589</c:v>
                </c:pt>
                <c:pt idx="88">
                  <c:v>0.0124356164383562</c:v>
                </c:pt>
                <c:pt idx="89">
                  <c:v>0.0125753424657534</c:v>
                </c:pt>
                <c:pt idx="90">
                  <c:v>0.0127150684931507</c:v>
                </c:pt>
                <c:pt idx="91">
                  <c:v>0.0128547945205479</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516</Words>
  <Characters>2944</Characters>
  <Lines>24</Lines>
  <Paragraphs>6</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gynsh</cp:lastModifiedBy>
  <cp:lastPrinted>2019-10-15T07:44:00Z</cp:lastPrinted>
  <dcterms:modified xsi:type="dcterms:W3CDTF">2022-10-25T01:55:29Z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