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超值宝2年23期理财产品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2022年03月22日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超值宝2年23期理财产品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92,290,000.00份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96,957,197.62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2022年03月22日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2024年03月21日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贵阳农村商业银行股份有限公司-超值宝2年23期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851900159610169</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2022年03月22日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-310,240.58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4,667,197.62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96,957,197.62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1.0506</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2022年03月22日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5.06</w:t>
            </w:r>
          </w:p>
        </w:tc>
        <w:tc>
          <w:tcPr>
            <w:tcW w:w="1843" w:type="dxa"/>
            <w:vAlign w:val="center"/>
          </w:tcPr>
          <w:p>
            <w:pPr>
              <w:jc w:val="right"/>
              <w:rPr>
                <w:rFonts w:ascii="宋体" w:hAnsi="宋体"/>
                <w:color w:val="auto"/>
              </w:rPr>
            </w:pPr>
            <w:r>
              <w:rPr>
                <w:rFonts w:ascii="宋体" w:hAnsi="宋体"/>
                <w:color w:val="auto"/>
              </w:rPr>
              <w:t>3.90</w:t>
            </w:r>
          </w:p>
        </w:tc>
        <w:tc>
          <w:tcPr>
            <w:tcW w:w="1843" w:type="dxa"/>
            <w:vAlign w:val="center"/>
          </w:tcPr>
          <w:p>
            <w:pPr>
              <w:jc w:val="right"/>
              <w:rPr>
                <w:rFonts w:ascii="宋体" w:hAnsi="宋体"/>
                <w:color w:val="auto"/>
              </w:rPr>
            </w:pPr>
            <w:r>
              <w:rPr>
                <w:rFonts w:ascii="宋体" w:hAnsi="宋体"/>
                <w:color w:val="auto"/>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5.06</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3.90</w:t>
            </w:r>
          </w:p>
        </w:tc>
        <w:tc>
          <w:tcPr>
            <w:tcW w:w="1843" w:type="dxa"/>
            <w:vAlign w:val="center"/>
          </w:tcPr>
          <w:p>
            <w:pPr>
              <w:jc w:val="right"/>
              <w:rPr>
                <w:rFonts w:ascii="宋体" w:hAnsi="宋体"/>
                <w:color w:val="auto"/>
              </w:rPr>
            </w:pPr>
            <w:r>
              <w:rPr>
                <w:rFonts w:ascii="宋体" w:hAnsi="宋体"/>
                <w:color w:val="auto"/>
              </w:rPr>
              <w:t>4.29</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09555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9555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5.06%</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97,267,438.20</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97,267,438.20</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898.96</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97,267,438.20</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97,268,337.16</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79,163,328.53</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79,163,328.53</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17,265,221.28</w:t>
            </w:r>
          </w:p>
        </w:tc>
        <w:tc>
          <w:tcPr>
            <w:tcW w:w="2127" w:type="dxa"/>
            <w:shd w:val="clear" w:color="auto" w:fill="auto"/>
            <w:vAlign w:val="center"/>
          </w:tcPr>
          <w:p>
            <w:pPr>
              <w:jc w:val="right"/>
              <w:rPr>
                <w:rFonts w:ascii="宋体" w:hAnsi="宋体"/>
                <w:color w:val="auto"/>
              </w:rPr>
            </w:pPr>
            <w:r>
              <w:rPr>
                <w:rFonts w:hint="eastAsia" w:ascii="宋体" w:hAnsi="宋体"/>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912,372.78</w:t>
            </w:r>
          </w:p>
        </w:tc>
        <w:tc>
          <w:tcPr>
            <w:tcW w:w="2127" w:type="dxa"/>
            <w:shd w:val="clear" w:color="auto" w:fill="auto"/>
            <w:vAlign w:val="center"/>
          </w:tcPr>
          <w:p>
            <w:pPr>
              <w:jc w:val="right"/>
              <w:rPr>
                <w:rFonts w:ascii="宋体" w:hAnsi="宋体"/>
                <w:color w:val="auto"/>
              </w:rPr>
            </w:pPr>
            <w:r>
              <w:rPr>
                <w:rFonts w:hint="eastAsia" w:ascii="宋体" w:hAnsi="宋体"/>
                <w:color w:val="auto"/>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306.37</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97,341,228.96</w:t>
            </w:r>
          </w:p>
        </w:tc>
        <w:tc>
          <w:tcPr>
            <w:tcW w:w="2127" w:type="dxa"/>
            <w:shd w:val="clear" w:color="auto" w:fill="auto"/>
          </w:tcPr>
          <w:p>
            <w:pPr>
              <w:jc w:val="right"/>
              <w:rPr>
                <w:rFonts w:ascii="宋体" w:hAnsi="宋体"/>
                <w:color w:val="auto"/>
              </w:rPr>
            </w:pPr>
            <w:r>
              <w:rPr>
                <w:rFonts w:hint="eastAsia" w:ascii="宋体" w:hAnsi="宋体"/>
                <w:color w:val="auto"/>
              </w:rPr>
              <w:t>100.07</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17,265,221.28</w:t>
            </w:r>
          </w:p>
        </w:tc>
        <w:tc>
          <w:tcPr>
            <w:tcW w:w="2046" w:type="dxa"/>
            <w:shd w:val="clear" w:color="auto" w:fill="auto"/>
          </w:tcPr>
          <w:p>
            <w:pPr>
              <w:jc w:val="right"/>
              <w:rPr>
                <w:rFonts w:ascii="宋体"/>
                <w:color w:val="auto"/>
                <w:szCs w:val="21"/>
              </w:rPr>
            </w:pPr>
            <w:r>
              <w:rPr>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5,471,869.17</w:t>
            </w:r>
          </w:p>
        </w:tc>
        <w:tc>
          <w:tcPr>
            <w:tcW w:w="2046" w:type="dxa"/>
            <w:shd w:val="clear" w:color="auto" w:fill="auto"/>
          </w:tcPr>
          <w:p>
            <w:pPr>
              <w:jc w:val="right"/>
              <w:rPr>
                <w:rFonts w:ascii="宋体"/>
                <w:color w:val="auto"/>
                <w:szCs w:val="21"/>
              </w:rPr>
            </w:pPr>
            <w:r>
              <w:rPr>
                <w:color w:val="auto"/>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3,876,935.62</w:t>
            </w:r>
          </w:p>
        </w:tc>
        <w:tc>
          <w:tcPr>
            <w:tcW w:w="2046" w:type="dxa"/>
            <w:shd w:val="clear" w:color="auto" w:fill="auto"/>
          </w:tcPr>
          <w:p>
            <w:pPr>
              <w:jc w:val="right"/>
              <w:rPr>
                <w:rFonts w:ascii="宋体"/>
                <w:color w:val="auto"/>
                <w:szCs w:val="21"/>
              </w:rPr>
            </w:pPr>
            <w:r>
              <w:rPr>
                <w:color w:val="auto"/>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20遵旅01</w:t>
            </w:r>
          </w:p>
        </w:tc>
        <w:tc>
          <w:tcPr>
            <w:tcW w:w="2006" w:type="dxa"/>
            <w:shd w:val="clear" w:color="auto" w:fill="auto"/>
          </w:tcPr>
          <w:p>
            <w:pPr>
              <w:jc w:val="right"/>
              <w:rPr>
                <w:rFonts w:ascii="宋体"/>
                <w:color w:val="auto"/>
                <w:szCs w:val="21"/>
              </w:rPr>
            </w:pPr>
            <w:r>
              <w:rPr>
                <w:color w:val="auto"/>
              </w:rPr>
              <w:t>2,984,370.72</w:t>
            </w:r>
          </w:p>
        </w:tc>
        <w:tc>
          <w:tcPr>
            <w:tcW w:w="2046"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20贵产01</w:t>
            </w:r>
          </w:p>
        </w:tc>
        <w:tc>
          <w:tcPr>
            <w:tcW w:w="2006" w:type="dxa"/>
            <w:shd w:val="clear" w:color="auto" w:fill="auto"/>
          </w:tcPr>
          <w:p>
            <w:pPr>
              <w:jc w:val="right"/>
              <w:rPr>
                <w:rFonts w:ascii="宋体"/>
                <w:color w:val="auto"/>
                <w:szCs w:val="21"/>
              </w:rPr>
            </w:pPr>
            <w:r>
              <w:rPr>
                <w:color w:val="auto"/>
              </w:rPr>
              <w:t>2,759,313.30</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20铜旅01</w:t>
            </w:r>
          </w:p>
        </w:tc>
        <w:tc>
          <w:tcPr>
            <w:tcW w:w="2006" w:type="dxa"/>
            <w:shd w:val="clear" w:color="auto" w:fill="auto"/>
          </w:tcPr>
          <w:p>
            <w:pPr>
              <w:jc w:val="right"/>
              <w:rPr>
                <w:rFonts w:ascii="宋体"/>
                <w:color w:val="auto"/>
                <w:szCs w:val="21"/>
              </w:rPr>
            </w:pPr>
            <w:r>
              <w:rPr>
                <w:color w:val="auto"/>
              </w:rPr>
              <w:t>2,742,889.09</w:t>
            </w:r>
          </w:p>
        </w:tc>
        <w:tc>
          <w:tcPr>
            <w:tcW w:w="2046" w:type="dxa"/>
            <w:shd w:val="clear" w:color="auto" w:fill="auto"/>
          </w:tcPr>
          <w:p>
            <w:pPr>
              <w:jc w:val="right"/>
              <w:rPr>
                <w:rFonts w:ascii="宋体"/>
                <w:color w:val="auto"/>
                <w:szCs w:val="21"/>
              </w:rPr>
            </w:pPr>
            <w:r>
              <w:rPr>
                <w:color w:val="auto"/>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2,521,101.22</w:t>
            </w:r>
          </w:p>
        </w:tc>
        <w:tc>
          <w:tcPr>
            <w:tcW w:w="2046" w:type="dxa"/>
            <w:shd w:val="clear" w:color="auto" w:fill="auto"/>
          </w:tcPr>
          <w:p>
            <w:pPr>
              <w:jc w:val="right"/>
              <w:rPr>
                <w:rFonts w:ascii="宋体"/>
                <w:color w:val="auto"/>
                <w:szCs w:val="21"/>
              </w:rPr>
            </w:pPr>
            <w:r>
              <w:rPr>
                <w:color w:val="auto"/>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20花竹01</w:t>
            </w:r>
          </w:p>
        </w:tc>
        <w:tc>
          <w:tcPr>
            <w:tcW w:w="2006" w:type="dxa"/>
            <w:shd w:val="clear" w:color="auto" w:fill="auto"/>
          </w:tcPr>
          <w:p>
            <w:pPr>
              <w:jc w:val="right"/>
              <w:rPr>
                <w:rFonts w:ascii="宋体"/>
                <w:color w:val="auto"/>
                <w:szCs w:val="21"/>
              </w:rPr>
            </w:pPr>
            <w:r>
              <w:rPr>
                <w:color w:val="auto"/>
              </w:rPr>
              <w:t>2,513,646.48</w:t>
            </w:r>
          </w:p>
        </w:tc>
        <w:tc>
          <w:tcPr>
            <w:tcW w:w="2046" w:type="dxa"/>
            <w:shd w:val="clear" w:color="auto" w:fill="auto"/>
          </w:tcPr>
          <w:p>
            <w:pPr>
              <w:jc w:val="right"/>
              <w:rPr>
                <w:rFonts w:ascii="宋体"/>
                <w:color w:val="auto"/>
                <w:szCs w:val="21"/>
              </w:rPr>
            </w:pPr>
            <w:r>
              <w:rPr>
                <w:color w:val="auto"/>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20安投债</w:t>
            </w:r>
          </w:p>
        </w:tc>
        <w:tc>
          <w:tcPr>
            <w:tcW w:w="2006" w:type="dxa"/>
            <w:shd w:val="clear" w:color="auto" w:fill="auto"/>
          </w:tcPr>
          <w:p>
            <w:pPr>
              <w:jc w:val="right"/>
              <w:rPr>
                <w:rFonts w:ascii="宋体"/>
                <w:color w:val="auto"/>
                <w:szCs w:val="21"/>
              </w:rPr>
            </w:pPr>
            <w:r>
              <w:rPr>
                <w:color w:val="auto"/>
              </w:rPr>
              <w:t>2,433,702.56</w:t>
            </w:r>
          </w:p>
        </w:tc>
        <w:tc>
          <w:tcPr>
            <w:tcW w:w="2046" w:type="dxa"/>
            <w:shd w:val="clear" w:color="auto" w:fill="auto"/>
          </w:tcPr>
          <w:p>
            <w:pPr>
              <w:jc w:val="right"/>
              <w:rPr>
                <w:rFonts w:ascii="宋体"/>
                <w:color w:val="auto"/>
                <w:szCs w:val="21"/>
              </w:rPr>
            </w:pPr>
            <w:r>
              <w:rPr>
                <w:color w:val="auto"/>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22贵安01</w:t>
            </w:r>
          </w:p>
        </w:tc>
        <w:tc>
          <w:tcPr>
            <w:tcW w:w="2006" w:type="dxa"/>
            <w:shd w:val="clear" w:color="auto" w:fill="auto"/>
          </w:tcPr>
          <w:p>
            <w:pPr>
              <w:jc w:val="right"/>
              <w:rPr>
                <w:rFonts w:ascii="宋体"/>
                <w:color w:val="auto"/>
                <w:szCs w:val="21"/>
              </w:rPr>
            </w:pPr>
            <w:r>
              <w:rPr>
                <w:color w:val="auto"/>
              </w:rPr>
              <w:t>2,329,936.22</w:t>
            </w:r>
          </w:p>
        </w:tc>
        <w:tc>
          <w:tcPr>
            <w:tcW w:w="2046" w:type="dxa"/>
            <w:shd w:val="clear" w:color="auto" w:fill="auto"/>
          </w:tcPr>
          <w:p>
            <w:pPr>
              <w:jc w:val="right"/>
              <w:rPr>
                <w:rFonts w:ascii="宋体"/>
                <w:color w:val="auto"/>
                <w:szCs w:val="21"/>
              </w:rPr>
            </w:pPr>
            <w:r>
              <w:rPr>
                <w:color w:val="auto"/>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44,898,985.67</w:t>
            </w:r>
          </w:p>
        </w:tc>
        <w:tc>
          <w:tcPr>
            <w:tcW w:w="2046" w:type="dxa"/>
            <w:shd w:val="clear" w:color="auto" w:fill="auto"/>
          </w:tcPr>
          <w:p>
            <w:pPr>
              <w:jc w:val="right"/>
              <w:rPr>
                <w:rFonts w:ascii="宋体"/>
                <w:color w:val="auto"/>
                <w:szCs w:val="21"/>
              </w:rPr>
            </w:pPr>
            <w:r>
              <w:rPr>
                <w:color w:val="auto"/>
              </w:rPr>
              <w:t>46.16</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2023年03月</w:t>
      </w:r>
      <w:r>
        <w:rPr>
          <w:rFonts w:hint="eastAsia" w:ascii="宋体" w:hAnsi="宋体"/>
          <w:color w:val="auto"/>
          <w:szCs w:val="21"/>
          <w:lang w:val="en-US" w:eastAsia="zh-CN"/>
        </w:rPr>
        <w:t>15</w:t>
      </w:r>
      <w:bookmarkStart w:id="13" w:name="_GoBack"/>
      <w:bookmarkEnd w:id="13"/>
      <w:r>
        <w:rPr>
          <w:rFonts w:ascii="宋体" w:hAnsi="宋体"/>
          <w:color w:val="auto"/>
          <w:szCs w:val="21"/>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FwekrDIQFHT3kUCl5WLhHEeVHKw=" w:salt="haJ/zqxCiNeed4r2H1mNA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466F1DF1"/>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2023-03-16T06:27:32Z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