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3</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val="en-US" w:eastAsia="zh-CN"/>
        </w:rPr>
        <w:t>12</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4季</w:t>
      </w:r>
      <w:r>
        <w:rPr>
          <w:rFonts w:hint="eastAsia" w:ascii="方正小标宋简体" w:hAnsi="宋体" w:eastAsia="方正小标宋简体"/>
          <w:color w:val="auto"/>
          <w:sz w:val="44"/>
          <w:szCs w:val="32"/>
          <w:shd w:val="clear" w:color="auto" w:fill="FFFFFF"/>
          <w:lang w:eastAsia="zh-CN"/>
        </w:rPr>
        <w:t>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兴业银行股份有限公司贵阳分行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黑体" w:hAnsi="黑体" w:eastAsia="黑体"/>
          <w:color w:val="auto"/>
          <w:sz w:val="24"/>
          <w:szCs w:val="24"/>
          <w:shd w:val="clear" w:color="auto" w:fill="FFFFFF"/>
        </w:rPr>
      </w:pPr>
      <w:bookmarkStart w:id="0" w:name="_Toc194311890"/>
      <w:bookmarkStart w:id="1" w:name="_Toc528772556"/>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3年12</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lang w:val="en-US"/>
              </w:rPr>
            </w:pPr>
            <w:r>
              <w:rPr>
                <w:rFonts w:hint="eastAsia"/>
                <w:color w:val="auto"/>
                <w:lang w:eastAsia="zh-CN"/>
              </w:rPr>
              <w:t>C11883</w:t>
            </w:r>
            <w:r>
              <w:rPr>
                <w:rFonts w:hint="eastAsia"/>
                <w:color w:val="auto"/>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5.40%-5.90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户名：贵阳农村商业银行股份有限公司超值宝3年12期</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账号：602010100100710244</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01日</w:t>
            </w:r>
            <w:r>
              <w:rPr>
                <w:rFonts w:hint="eastAsia" w:ascii="仿宋" w:hAnsi="仿宋" w:eastAsia="仿宋"/>
                <w:color w:val="auto"/>
                <w:szCs w:val="21"/>
                <w:shd w:val="clear" w:color="auto" w:fill="FFFFFF"/>
              </w:rPr>
              <w:t>-20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-47,517.55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498,609.31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31,172,876.62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1.0391</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1.62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highlight w:val="yellow"/>
                <w:lang w:val="en-US" w:eastAsia="zh-CN"/>
              </w:rPr>
            </w:pPr>
            <w:r>
              <w:rPr>
                <w:rFonts w:hint="eastAsia" w:ascii="仿宋" w:hAnsi="仿宋" w:eastAsia="仿宋" w:cs="仿宋"/>
                <w:i w:val="0"/>
                <w:color w:val="auto"/>
                <w:kern w:val="0"/>
                <w:sz w:val="21"/>
                <w:szCs w:val="21"/>
                <w:u w:val="none"/>
                <w:lang w:val="en-US" w:eastAsia="zh-CN"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3.91 </w:t>
            </w:r>
          </w:p>
        </w:tc>
        <w:tc>
          <w:tcPr>
            <w:tcW w:w="3560" w:type="dxa"/>
            <w:vAlign w:val="center"/>
          </w:tcPr>
          <w:p>
            <w:pPr>
              <w:keepNext w:val="0"/>
              <w:keepLines w:val="0"/>
              <w:widowControl/>
              <w:suppressLineNumbers w:val="0"/>
              <w:jc w:val="center"/>
              <w:textAlignment w:val="center"/>
              <w:rPr>
                <w:rFonts w:hint="eastAsia" w:ascii="仿宋" w:hAnsi="仿宋" w:eastAsia="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3.37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05</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0.31</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日，净值1.0391，整体杠杆率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1.62</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r>
              <w:rPr>
                <w:rFonts w:hint="eastAsia" w:ascii="仿宋" w:hAnsi="仿宋" w:eastAsia="仿宋"/>
                <w:color w:val="auto"/>
                <w:szCs w:val="21"/>
              </w:rPr>
              <w:t>31,288,518.06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31,288,518.06</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lang w:eastAsia="zh-CN"/>
              </w:rPr>
              <w:t>资管产品</w:t>
            </w:r>
            <w:r>
              <w:rPr>
                <w:rFonts w:hint="eastAsia" w:ascii="仿宋" w:hAnsi="仿宋" w:eastAsia="仿宋"/>
                <w:color w:val="auto"/>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31,288,518.06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292.19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olor w:val="auto"/>
                <w:szCs w:val="21"/>
              </w:rPr>
            </w:pPr>
            <w:r>
              <w:rPr>
                <w:rFonts w:hint="eastAsia" w:ascii="仿宋" w:hAnsi="仿宋" w:eastAsia="仿宋"/>
                <w:color w:val="auto"/>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31,288,810.25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jc w:val="both"/>
        <w:rPr>
          <w:rFonts w:hint="eastAsia" w:ascii="仿宋" w:hAnsi="仿宋" w:eastAsia="仿宋"/>
          <w:color w:val="auto"/>
          <w:szCs w:val="21"/>
        </w:rPr>
      </w:pPr>
    </w:p>
    <w:p>
      <w:pPr>
        <w:jc w:val="both"/>
        <w:rPr>
          <w:rFonts w:hint="eastAsia" w:ascii="仿宋" w:hAnsi="仿宋" w:eastAsia="仿宋"/>
          <w:color w:val="auto"/>
          <w:szCs w:val="21"/>
        </w:rPr>
      </w:pPr>
    </w:p>
    <w:p>
      <w:pPr>
        <w:ind w:firstLine="420" w:firstLineChars="0"/>
        <w:jc w:val="both"/>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922D75-04F9-4122-90D5-E21CEDA2B0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8970B55-4D1A-42D1-B5FE-20080368D1D0}"/>
  </w:font>
  <w:font w:name="仿宋">
    <w:panose1 w:val="02010609060101010101"/>
    <w:charset w:val="86"/>
    <w:family w:val="auto"/>
    <w:pitch w:val="default"/>
    <w:sig w:usb0="800002BF" w:usb1="38CF7CFA" w:usb2="00000016" w:usb3="00000000" w:csb0="00040001" w:csb1="00000000"/>
    <w:embedRegular r:id="rId3" w:fontKey="{2EDD5139-6A40-4A32-AA94-4BE8F8C59FD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trud69Q+VI5qW4NA7ik/GyaazRg=" w:salt="mF3b2R3F/+W/E7NP8vNsW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3A42FCC"/>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69F0AB0"/>
    <w:rsid w:val="17E41503"/>
    <w:rsid w:val="1B405FCF"/>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2446D78"/>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1.0225</c:v>
                </c:pt>
                <c:pt idx="1">
                  <c:v>1.0224</c:v>
                </c:pt>
                <c:pt idx="2">
                  <c:v>1.0224</c:v>
                </c:pt>
                <c:pt idx="3">
                  <c:v>1.0224</c:v>
                </c:pt>
                <c:pt idx="4">
                  <c:v>1.0224</c:v>
                </c:pt>
                <c:pt idx="5">
                  <c:v>1.0224</c:v>
                </c:pt>
                <c:pt idx="6">
                  <c:v>1.0224</c:v>
                </c:pt>
                <c:pt idx="7">
                  <c:v>1.0239</c:v>
                </c:pt>
                <c:pt idx="8">
                  <c:v>1.0238</c:v>
                </c:pt>
                <c:pt idx="9">
                  <c:v>1.0238</c:v>
                </c:pt>
                <c:pt idx="10">
                  <c:v>1.0244</c:v>
                </c:pt>
                <c:pt idx="11">
                  <c:v>1.0245</c:v>
                </c:pt>
                <c:pt idx="12">
                  <c:v>1.0247</c:v>
                </c:pt>
                <c:pt idx="13">
                  <c:v>1.0249</c:v>
                </c:pt>
                <c:pt idx="14">
                  <c:v>1.0251</c:v>
                </c:pt>
                <c:pt idx="15">
                  <c:v>1.025</c:v>
                </c:pt>
                <c:pt idx="16">
                  <c:v>1.025</c:v>
                </c:pt>
                <c:pt idx="17">
                  <c:v>1.0256</c:v>
                </c:pt>
                <c:pt idx="18">
                  <c:v>1.0258</c:v>
                </c:pt>
                <c:pt idx="19">
                  <c:v>1.0259</c:v>
                </c:pt>
                <c:pt idx="20">
                  <c:v>1.0261</c:v>
                </c:pt>
                <c:pt idx="21">
                  <c:v>1.0263</c:v>
                </c:pt>
                <c:pt idx="22">
                  <c:v>1.0263</c:v>
                </c:pt>
                <c:pt idx="23">
                  <c:v>1.0262</c:v>
                </c:pt>
                <c:pt idx="24">
                  <c:v>1.0268</c:v>
                </c:pt>
                <c:pt idx="25">
                  <c:v>1.027</c:v>
                </c:pt>
                <c:pt idx="26">
                  <c:v>1.0271</c:v>
                </c:pt>
                <c:pt idx="27">
                  <c:v>1.0273</c:v>
                </c:pt>
                <c:pt idx="28">
                  <c:v>1.0275</c:v>
                </c:pt>
                <c:pt idx="29">
                  <c:v>1.0275</c:v>
                </c:pt>
                <c:pt idx="30">
                  <c:v>1.0274</c:v>
                </c:pt>
                <c:pt idx="31">
                  <c:v>1.028</c:v>
                </c:pt>
                <c:pt idx="32">
                  <c:v>1.0282</c:v>
                </c:pt>
                <c:pt idx="33">
                  <c:v>1.0283</c:v>
                </c:pt>
                <c:pt idx="34">
                  <c:v>1.0285</c:v>
                </c:pt>
                <c:pt idx="35">
                  <c:v>1.0287</c:v>
                </c:pt>
                <c:pt idx="36">
                  <c:v>1.0287</c:v>
                </c:pt>
                <c:pt idx="37">
                  <c:v>1.0287</c:v>
                </c:pt>
                <c:pt idx="38">
                  <c:v>1.0292</c:v>
                </c:pt>
                <c:pt idx="39">
                  <c:v>1.0294</c:v>
                </c:pt>
                <c:pt idx="40">
                  <c:v>1.0295</c:v>
                </c:pt>
                <c:pt idx="41">
                  <c:v>1.0296</c:v>
                </c:pt>
                <c:pt idx="42">
                  <c:v>1.0298</c:v>
                </c:pt>
                <c:pt idx="43">
                  <c:v>1.0298</c:v>
                </c:pt>
                <c:pt idx="44">
                  <c:v>1.0298</c:v>
                </c:pt>
                <c:pt idx="45">
                  <c:v>1.0303</c:v>
                </c:pt>
                <c:pt idx="46">
                  <c:v>1.0305</c:v>
                </c:pt>
                <c:pt idx="47">
                  <c:v>1.0307</c:v>
                </c:pt>
                <c:pt idx="48">
                  <c:v>1.0308</c:v>
                </c:pt>
                <c:pt idx="49">
                  <c:v>1.031</c:v>
                </c:pt>
                <c:pt idx="50">
                  <c:v>1.031</c:v>
                </c:pt>
                <c:pt idx="51">
                  <c:v>1.031</c:v>
                </c:pt>
                <c:pt idx="52">
                  <c:v>1.0315</c:v>
                </c:pt>
                <c:pt idx="53">
                  <c:v>1.0317</c:v>
                </c:pt>
                <c:pt idx="54">
                  <c:v>1.0319</c:v>
                </c:pt>
                <c:pt idx="55">
                  <c:v>1.032</c:v>
                </c:pt>
                <c:pt idx="56">
                  <c:v>1.0322</c:v>
                </c:pt>
                <c:pt idx="57">
                  <c:v>1.0322</c:v>
                </c:pt>
                <c:pt idx="58">
                  <c:v>1.0322</c:v>
                </c:pt>
                <c:pt idx="59">
                  <c:v>1.0327</c:v>
                </c:pt>
                <c:pt idx="60">
                  <c:v>1.0329</c:v>
                </c:pt>
                <c:pt idx="61">
                  <c:v>1.0331</c:v>
                </c:pt>
                <c:pt idx="62">
                  <c:v>1.0332</c:v>
                </c:pt>
                <c:pt idx="63">
                  <c:v>1.0334</c:v>
                </c:pt>
                <c:pt idx="64">
                  <c:v>1.0334</c:v>
                </c:pt>
                <c:pt idx="65">
                  <c:v>1.0334</c:v>
                </c:pt>
                <c:pt idx="66">
                  <c:v>1.0339</c:v>
                </c:pt>
                <c:pt idx="67">
                  <c:v>1.034</c:v>
                </c:pt>
                <c:pt idx="68">
                  <c:v>1.0342</c:v>
                </c:pt>
                <c:pt idx="69">
                  <c:v>1.0344</c:v>
                </c:pt>
                <c:pt idx="70">
                  <c:v>1.0345</c:v>
                </c:pt>
                <c:pt idx="71">
                  <c:v>1.0345</c:v>
                </c:pt>
                <c:pt idx="72">
                  <c:v>1.0345</c:v>
                </c:pt>
                <c:pt idx="73">
                  <c:v>1.035</c:v>
                </c:pt>
                <c:pt idx="74">
                  <c:v>1.0352</c:v>
                </c:pt>
                <c:pt idx="75">
                  <c:v>1.0354</c:v>
                </c:pt>
                <c:pt idx="76">
                  <c:v>1.0356</c:v>
                </c:pt>
                <c:pt idx="77">
                  <c:v>1.0357</c:v>
                </c:pt>
                <c:pt idx="78">
                  <c:v>1.0357</c:v>
                </c:pt>
                <c:pt idx="79">
                  <c:v>1.0357</c:v>
                </c:pt>
                <c:pt idx="80">
                  <c:v>1.0364</c:v>
                </c:pt>
                <c:pt idx="81">
                  <c:v>1.0367</c:v>
                </c:pt>
                <c:pt idx="82">
                  <c:v>1.0371</c:v>
                </c:pt>
                <c:pt idx="83">
                  <c:v>1.0371</c:v>
                </c:pt>
                <c:pt idx="84">
                  <c:v>1.0374</c:v>
                </c:pt>
                <c:pt idx="85">
                  <c:v>1.0374</c:v>
                </c:pt>
                <c:pt idx="86">
                  <c:v>1.0374</c:v>
                </c:pt>
                <c:pt idx="87">
                  <c:v>1.038</c:v>
                </c:pt>
                <c:pt idx="88">
                  <c:v>1.0383</c:v>
                </c:pt>
                <c:pt idx="89">
                  <c:v>1.0386</c:v>
                </c:pt>
                <c:pt idx="90">
                  <c:v>1.0388</c:v>
                </c:pt>
                <c:pt idx="91">
                  <c:v>1.0391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-9.77995110024166e-5</c:v>
                </c:pt>
                <c:pt idx="2">
                  <c:v>-9.77995110024166e-5</c:v>
                </c:pt>
                <c:pt idx="3">
                  <c:v>-9.77995110024166e-5</c:v>
                </c:pt>
                <c:pt idx="4">
                  <c:v>-9.77995110024166e-5</c:v>
                </c:pt>
                <c:pt idx="5">
                  <c:v>-9.77995110024166e-5</c:v>
                </c:pt>
                <c:pt idx="6">
                  <c:v>-9.77995110024166e-5</c:v>
                </c:pt>
                <c:pt idx="7">
                  <c:v>0.00136919315403428</c:v>
                </c:pt>
                <c:pt idx="8">
                  <c:v>0.00127139364303197</c:v>
                </c:pt>
                <c:pt idx="9">
                  <c:v>0.00127139364303197</c:v>
                </c:pt>
                <c:pt idx="10">
                  <c:v>0.00185819070904647</c:v>
                </c:pt>
                <c:pt idx="11">
                  <c:v>0.001955990220049</c:v>
                </c:pt>
                <c:pt idx="12">
                  <c:v>0.00215158924205383</c:v>
                </c:pt>
                <c:pt idx="13">
                  <c:v>0.00234718826405866</c:v>
                </c:pt>
                <c:pt idx="14">
                  <c:v>0.0025427872860635</c:v>
                </c:pt>
                <c:pt idx="15">
                  <c:v>0.00244498777506097</c:v>
                </c:pt>
                <c:pt idx="16">
                  <c:v>0.00244498777506097</c:v>
                </c:pt>
                <c:pt idx="17">
                  <c:v>0.00303178484107591</c:v>
                </c:pt>
                <c:pt idx="18">
                  <c:v>0.00322738386308075</c:v>
                </c:pt>
                <c:pt idx="19">
                  <c:v>0.00332518337408327</c:v>
                </c:pt>
                <c:pt idx="20">
                  <c:v>0.00352078239608811</c:v>
                </c:pt>
                <c:pt idx="21">
                  <c:v>0.00371638141809294</c:v>
                </c:pt>
                <c:pt idx="22">
                  <c:v>0.00371638141809294</c:v>
                </c:pt>
                <c:pt idx="23">
                  <c:v>0.00361858190709041</c:v>
                </c:pt>
                <c:pt idx="24">
                  <c:v>0.00420537897310513</c:v>
                </c:pt>
                <c:pt idx="25">
                  <c:v>0.00440097799510997</c:v>
                </c:pt>
                <c:pt idx="26">
                  <c:v>0.00449877750611249</c:v>
                </c:pt>
                <c:pt idx="27">
                  <c:v>0.00469437652811755</c:v>
                </c:pt>
                <c:pt idx="28">
                  <c:v>0.00488997555012238</c:v>
                </c:pt>
                <c:pt idx="29">
                  <c:v>0.00488997555012238</c:v>
                </c:pt>
                <c:pt idx="30">
                  <c:v>0.00479217603911986</c:v>
                </c:pt>
                <c:pt idx="31">
                  <c:v>0.00537897310513458</c:v>
                </c:pt>
                <c:pt idx="32">
                  <c:v>0.00557457212713941</c:v>
                </c:pt>
                <c:pt idx="33">
                  <c:v>0.00567237163814194</c:v>
                </c:pt>
                <c:pt idx="34">
                  <c:v>0.00586797066014677</c:v>
                </c:pt>
                <c:pt idx="35">
                  <c:v>0.0060635696821516</c:v>
                </c:pt>
                <c:pt idx="36">
                  <c:v>0.0060635696821516</c:v>
                </c:pt>
                <c:pt idx="37">
                  <c:v>0.0060635696821516</c:v>
                </c:pt>
                <c:pt idx="38">
                  <c:v>0.0065525672371638</c:v>
                </c:pt>
                <c:pt idx="39">
                  <c:v>0.00674816625916885</c:v>
                </c:pt>
                <c:pt idx="40">
                  <c:v>0.00684596577017116</c:v>
                </c:pt>
                <c:pt idx="41">
                  <c:v>0.00694376528117369</c:v>
                </c:pt>
                <c:pt idx="42">
                  <c:v>0.00713936430317852</c:v>
                </c:pt>
                <c:pt idx="43">
                  <c:v>0.00713936430317852</c:v>
                </c:pt>
                <c:pt idx="44">
                  <c:v>0.00713936430317852</c:v>
                </c:pt>
                <c:pt idx="45">
                  <c:v>0.00762836185819071</c:v>
                </c:pt>
                <c:pt idx="46">
                  <c:v>0.00782396088019555</c:v>
                </c:pt>
                <c:pt idx="47">
                  <c:v>0.00801955990220038</c:v>
                </c:pt>
                <c:pt idx="48">
                  <c:v>0.00811735941320291</c:v>
                </c:pt>
                <c:pt idx="49">
                  <c:v>0.00831295843520774</c:v>
                </c:pt>
                <c:pt idx="50">
                  <c:v>0.00831295843520774</c:v>
                </c:pt>
                <c:pt idx="51">
                  <c:v>0.00831295843520774</c:v>
                </c:pt>
                <c:pt idx="52">
                  <c:v>0.00880195599022016</c:v>
                </c:pt>
                <c:pt idx="53">
                  <c:v>0.00899755501222499</c:v>
                </c:pt>
                <c:pt idx="54">
                  <c:v>0.00919315403422982</c:v>
                </c:pt>
                <c:pt idx="55">
                  <c:v>0.00929095354523235</c:v>
                </c:pt>
                <c:pt idx="56">
                  <c:v>0.00948655256723718</c:v>
                </c:pt>
                <c:pt idx="57">
                  <c:v>0.00948655256723718</c:v>
                </c:pt>
                <c:pt idx="58">
                  <c:v>0.00948655256723718</c:v>
                </c:pt>
                <c:pt idx="59">
                  <c:v>0.00997555012224938</c:v>
                </c:pt>
                <c:pt idx="60">
                  <c:v>0.0101711491442542</c:v>
                </c:pt>
                <c:pt idx="61">
                  <c:v>0.010366748166259</c:v>
                </c:pt>
                <c:pt idx="62">
                  <c:v>0.0104645476772616</c:v>
                </c:pt>
                <c:pt idx="63">
                  <c:v>0.0106601466992666</c:v>
                </c:pt>
                <c:pt idx="64">
                  <c:v>0.0106601466992666</c:v>
                </c:pt>
                <c:pt idx="65">
                  <c:v>0.0106601466992666</c:v>
                </c:pt>
                <c:pt idx="66">
                  <c:v>0.0111491442542788</c:v>
                </c:pt>
                <c:pt idx="67">
                  <c:v>0.0112469437652813</c:v>
                </c:pt>
                <c:pt idx="68">
                  <c:v>0.0114425427872862</c:v>
                </c:pt>
                <c:pt idx="69">
                  <c:v>0.011638141809291</c:v>
                </c:pt>
                <c:pt idx="70">
                  <c:v>0.0117359413202933</c:v>
                </c:pt>
                <c:pt idx="71">
                  <c:v>0.0117359413202933</c:v>
                </c:pt>
                <c:pt idx="72">
                  <c:v>0.0117359413202933</c:v>
                </c:pt>
                <c:pt idx="73">
                  <c:v>0.0122249388753055</c:v>
                </c:pt>
                <c:pt idx="74">
                  <c:v>0.0124205378973103</c:v>
                </c:pt>
                <c:pt idx="75">
                  <c:v>0.0126161369193156</c:v>
                </c:pt>
                <c:pt idx="76">
                  <c:v>0.0128117359413205</c:v>
                </c:pt>
                <c:pt idx="77">
                  <c:v>0.0129095354523228</c:v>
                </c:pt>
                <c:pt idx="78">
                  <c:v>0.0129095354523228</c:v>
                </c:pt>
                <c:pt idx="79">
                  <c:v>0.0129095354523228</c:v>
                </c:pt>
                <c:pt idx="80">
                  <c:v>0.0135941320293398</c:v>
                </c:pt>
                <c:pt idx="81">
                  <c:v>0.0138875305623472</c:v>
                </c:pt>
                <c:pt idx="82">
                  <c:v>0.0142787286063568</c:v>
                </c:pt>
                <c:pt idx="83">
                  <c:v>0.0142787286063568</c:v>
                </c:pt>
                <c:pt idx="84">
                  <c:v>0.0145721271393644</c:v>
                </c:pt>
                <c:pt idx="85">
                  <c:v>0.0145721271393644</c:v>
                </c:pt>
                <c:pt idx="86">
                  <c:v>0.0145721271393644</c:v>
                </c:pt>
                <c:pt idx="87">
                  <c:v>0.0151589242053791</c:v>
                </c:pt>
                <c:pt idx="88">
                  <c:v>0.0154523227383863</c:v>
                </c:pt>
                <c:pt idx="89">
                  <c:v>0.0157457212713936</c:v>
                </c:pt>
                <c:pt idx="90">
                  <c:v>0.0159413202933985</c:v>
                </c:pt>
                <c:pt idx="91">
                  <c:v>0.0162347188264058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2022-02-11T01:51:50Z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6495B47FA78045B99F29F095BB9D0C7D</vt:lpwstr>
  </property>
</Properties>
</file>