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超值宝3年20期理财产品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2022年第4季度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3"/>
      <w:bookmarkEnd w:id="0"/>
      <w:bookmarkStart w:id="1" w:name="OLE_LINK1"/>
      <w:bookmarkEnd w:id="1"/>
      <w:bookmarkStart w:id="2" w:name="OLE_LINK2"/>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2022年10月01日</w:t>
      </w:r>
      <w:bookmarkStart w:id="3" w:name="OLE_LINK5"/>
      <w:bookmarkEnd w:id="3"/>
      <w:bookmarkStart w:id="4" w:name="OLE_LINK6"/>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超值宝3年20期理财产品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C1188322000012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18,600,000.00份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19,764,255.22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2022年01月18日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2025年01月16日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[5.2%-5.7%]/年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贵阳农村商业银行股份有限公司-超值宝3年20期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851900159610860</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招商银行贵阳分行营业部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2022年10月01日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-20,884.20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136,489.09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19,764,255.22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1.0626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1.0626</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2022年10月01日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0.69</w:t>
            </w:r>
          </w:p>
        </w:tc>
        <w:tc>
          <w:tcPr>
            <w:tcW w:w="1843" w:type="dxa"/>
            <w:vAlign w:val="center"/>
          </w:tcPr>
          <w:p>
            <w:pPr>
              <w:jc w:val="right"/>
              <w:rPr>
                <w:rFonts w:ascii="宋体" w:hAnsi="宋体"/>
                <w:color w:val="auto"/>
              </w:rPr>
            </w:pPr>
            <w:r>
              <w:rPr>
                <w:rFonts w:ascii="宋体" w:hAnsi="宋体"/>
                <w:color w:val="auto"/>
              </w:rPr>
              <w:t>1.31</w:t>
            </w:r>
          </w:p>
        </w:tc>
        <w:tc>
          <w:tcPr>
            <w:tcW w:w="1843" w:type="dxa"/>
            <w:vAlign w:val="center"/>
          </w:tcPr>
          <w:p>
            <w:pPr>
              <w:jc w:val="right"/>
              <w:rPr>
                <w:rFonts w:ascii="宋体" w:hAnsi="宋体"/>
                <w:color w:val="auto"/>
              </w:rPr>
            </w:pPr>
            <w:r>
              <w:rPr>
                <w:rFonts w:ascii="宋体" w:hAnsi="宋体"/>
                <w:color w:val="auto"/>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6.26</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4.96</w:t>
            </w:r>
          </w:p>
        </w:tc>
        <w:tc>
          <w:tcPr>
            <w:tcW w:w="1843" w:type="dxa"/>
            <w:vAlign w:val="center"/>
          </w:tcPr>
          <w:p>
            <w:pPr>
              <w:jc w:val="right"/>
              <w:rPr>
                <w:rFonts w:ascii="宋体" w:hAnsi="宋体"/>
                <w:color w:val="auto"/>
              </w:rPr>
            </w:pPr>
            <w:r>
              <w:rPr>
                <w:rFonts w:ascii="宋体" w:hAnsi="宋体"/>
                <w:color w:val="auto"/>
              </w:rPr>
              <w:t>5.43</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2"/>
      <w:bookmarkStart w:id="10" w:name="OLE_LINK13"/>
      <w:r>
        <w:rPr>
          <w:color w:val="auto"/>
        </w:rPr>
        <w:drawing>
          <wp:inline distT="0" distB="0" distL="0" distR="0">
            <wp:extent cx="5238750" cy="2095500"/>
            <wp:effectExtent l="0" t="0" r="0" b="0"/>
            <wp:docPr id="1" name="图片 1" descr="JFreeChart/WB008540_Q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08540_Q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0.69%</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鑫沅资产鑫梅花456号集合资产管理计划</w:t>
            </w:r>
          </w:p>
        </w:tc>
        <w:tc>
          <w:tcPr>
            <w:tcW w:w="2066" w:type="dxa"/>
            <w:shd w:val="clear" w:color="auto" w:fill="auto"/>
          </w:tcPr>
          <w:p>
            <w:pPr>
              <w:jc w:val="right"/>
              <w:rPr>
                <w:rFonts w:ascii="宋体"/>
                <w:color w:val="auto"/>
                <w:szCs w:val="21"/>
              </w:rPr>
            </w:pPr>
            <w:r>
              <w:rPr>
                <w:color w:val="auto"/>
              </w:rPr>
              <w:t>19,840,879.35</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19,840,879.35</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366.70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19,840,879.35</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19,841,246.05</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16,147,953.31</w:t>
            </w:r>
          </w:p>
        </w:tc>
        <w:tc>
          <w:tcPr>
            <w:tcW w:w="2127" w:type="dxa"/>
            <w:shd w:val="clear" w:color="auto" w:fill="auto"/>
            <w:vAlign w:val="center"/>
          </w:tcPr>
          <w:p>
            <w:pPr>
              <w:jc w:val="right"/>
              <w:rPr>
                <w:rFonts w:ascii="宋体" w:hAnsi="宋体"/>
                <w:color w:val="auto"/>
              </w:rPr>
            </w:pPr>
            <w:r>
              <w:rPr>
                <w:rFonts w:hint="eastAsia" w:ascii="宋体" w:hAnsi="宋体"/>
                <w:color w:val="auto"/>
              </w:rPr>
              <w:t>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16,147,953.31</w:t>
            </w:r>
          </w:p>
        </w:tc>
        <w:tc>
          <w:tcPr>
            <w:tcW w:w="2127" w:type="dxa"/>
            <w:shd w:val="clear" w:color="auto" w:fill="auto"/>
            <w:vAlign w:val="center"/>
          </w:tcPr>
          <w:p>
            <w:pPr>
              <w:jc w:val="right"/>
              <w:rPr>
                <w:rFonts w:ascii="宋体" w:hAnsi="宋体"/>
                <w:color w:val="auto"/>
              </w:rPr>
            </w:pPr>
            <w:r>
              <w:rPr>
                <w:rFonts w:hint="eastAsia" w:ascii="宋体" w:hAnsi="宋体"/>
                <w:color w:val="auto"/>
              </w:rPr>
              <w:t>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3,520,909.57</w:t>
            </w:r>
          </w:p>
        </w:tc>
        <w:tc>
          <w:tcPr>
            <w:tcW w:w="2127" w:type="dxa"/>
            <w:shd w:val="clear" w:color="auto" w:fill="auto"/>
            <w:vAlign w:val="center"/>
          </w:tcPr>
          <w:p>
            <w:pPr>
              <w:jc w:val="right"/>
              <w:rPr>
                <w:rFonts w:ascii="宋体" w:hAnsi="宋体"/>
                <w:color w:val="auto"/>
              </w:rPr>
            </w:pPr>
            <w:r>
              <w:rPr>
                <w:rFonts w:hint="eastAsia" w:ascii="宋体" w:hAnsi="宋体"/>
                <w:color w:val="auto"/>
              </w:rPr>
              <w:t>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186,108.31</w:t>
            </w:r>
          </w:p>
        </w:tc>
        <w:tc>
          <w:tcPr>
            <w:tcW w:w="2127" w:type="dxa"/>
            <w:shd w:val="clear" w:color="auto" w:fill="auto"/>
            <w:vAlign w:val="center"/>
          </w:tcPr>
          <w:p>
            <w:pPr>
              <w:jc w:val="right"/>
              <w:rPr>
                <w:rFonts w:ascii="宋体" w:hAnsi="宋体"/>
                <w:color w:val="auto"/>
              </w:rPr>
            </w:pPr>
            <w:r>
              <w:rPr>
                <w:rFonts w:hint="eastAsia" w:ascii="宋体" w:hAnsi="宋体"/>
                <w:color w:val="auto"/>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960.21</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19,855,931.39</w:t>
            </w:r>
          </w:p>
        </w:tc>
        <w:tc>
          <w:tcPr>
            <w:tcW w:w="2127" w:type="dxa"/>
            <w:shd w:val="clear" w:color="auto" w:fill="auto"/>
          </w:tcPr>
          <w:p>
            <w:pPr>
              <w:jc w:val="right"/>
              <w:rPr>
                <w:rFonts w:ascii="宋体" w:hAnsi="宋体"/>
                <w:color w:val="auto"/>
              </w:rPr>
            </w:pPr>
            <w:r>
              <w:rPr>
                <w:rFonts w:hint="eastAsia" w:ascii="宋体" w:hAnsi="宋体"/>
                <w:color w:val="auto"/>
              </w:rPr>
              <w:t>100.07</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GC002</w:t>
            </w:r>
          </w:p>
        </w:tc>
        <w:tc>
          <w:tcPr>
            <w:tcW w:w="2006" w:type="dxa"/>
            <w:shd w:val="clear" w:color="auto" w:fill="auto"/>
          </w:tcPr>
          <w:p>
            <w:pPr>
              <w:jc w:val="right"/>
              <w:rPr>
                <w:rFonts w:ascii="宋体"/>
                <w:color w:val="auto"/>
                <w:szCs w:val="21"/>
              </w:rPr>
            </w:pPr>
            <w:r>
              <w:rPr>
                <w:color w:val="auto"/>
              </w:rPr>
              <w:t>3,520,909.57</w:t>
            </w:r>
          </w:p>
        </w:tc>
        <w:tc>
          <w:tcPr>
            <w:tcW w:w="2046" w:type="dxa"/>
            <w:shd w:val="clear" w:color="auto" w:fill="auto"/>
          </w:tcPr>
          <w:p>
            <w:pPr>
              <w:jc w:val="right"/>
              <w:rPr>
                <w:rFonts w:ascii="宋体"/>
                <w:color w:val="auto"/>
                <w:szCs w:val="21"/>
              </w:rPr>
            </w:pPr>
            <w:r>
              <w:rPr>
                <w:color w:val="auto"/>
              </w:rPr>
              <w:t>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1,116,166.91</w:t>
            </w:r>
          </w:p>
        </w:tc>
        <w:tc>
          <w:tcPr>
            <w:tcW w:w="2046" w:type="dxa"/>
            <w:shd w:val="clear" w:color="auto" w:fill="auto"/>
          </w:tcPr>
          <w:p>
            <w:pPr>
              <w:jc w:val="right"/>
              <w:rPr>
                <w:rFonts w:ascii="宋体"/>
                <w:color w:val="auto"/>
                <w:szCs w:val="21"/>
              </w:rPr>
            </w:pPr>
            <w:r>
              <w:rPr>
                <w:color w:val="auto"/>
              </w:rPr>
              <w:t>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20铜开01</w:t>
            </w:r>
          </w:p>
        </w:tc>
        <w:tc>
          <w:tcPr>
            <w:tcW w:w="2006" w:type="dxa"/>
            <w:shd w:val="clear" w:color="auto" w:fill="auto"/>
          </w:tcPr>
          <w:p>
            <w:pPr>
              <w:jc w:val="right"/>
              <w:rPr>
                <w:rFonts w:ascii="宋体"/>
                <w:color w:val="auto"/>
                <w:szCs w:val="21"/>
              </w:rPr>
            </w:pPr>
            <w:r>
              <w:rPr>
                <w:color w:val="auto"/>
              </w:rPr>
              <w:t>790,827.98</w:t>
            </w:r>
          </w:p>
        </w:tc>
        <w:tc>
          <w:tcPr>
            <w:tcW w:w="2046" w:type="dxa"/>
            <w:shd w:val="clear" w:color="auto" w:fill="auto"/>
          </w:tcPr>
          <w:p>
            <w:pPr>
              <w:jc w:val="right"/>
              <w:rPr>
                <w:rFonts w:ascii="宋体"/>
                <w:color w:val="auto"/>
                <w:szCs w:val="21"/>
              </w:rPr>
            </w:pPr>
            <w:r>
              <w:rPr>
                <w:color w:val="auto"/>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20遵旅01</w:t>
            </w:r>
          </w:p>
        </w:tc>
        <w:tc>
          <w:tcPr>
            <w:tcW w:w="2006" w:type="dxa"/>
            <w:shd w:val="clear" w:color="auto" w:fill="auto"/>
          </w:tcPr>
          <w:p>
            <w:pPr>
              <w:jc w:val="right"/>
              <w:rPr>
                <w:rFonts w:ascii="宋体"/>
                <w:color w:val="auto"/>
                <w:szCs w:val="21"/>
              </w:rPr>
            </w:pPr>
            <w:r>
              <w:rPr>
                <w:color w:val="auto"/>
              </w:rPr>
              <w:t>608,760.14</w:t>
            </w:r>
          </w:p>
        </w:tc>
        <w:tc>
          <w:tcPr>
            <w:tcW w:w="2046" w:type="dxa"/>
            <w:shd w:val="clear" w:color="auto" w:fill="auto"/>
          </w:tcPr>
          <w:p>
            <w:pPr>
              <w:jc w:val="right"/>
              <w:rPr>
                <w:rFonts w:ascii="宋体"/>
                <w:color w:val="auto"/>
                <w:szCs w:val="21"/>
              </w:rPr>
            </w:pPr>
            <w:r>
              <w:rPr>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20贵产01</w:t>
            </w:r>
          </w:p>
        </w:tc>
        <w:tc>
          <w:tcPr>
            <w:tcW w:w="2006" w:type="dxa"/>
            <w:shd w:val="clear" w:color="auto" w:fill="auto"/>
          </w:tcPr>
          <w:p>
            <w:pPr>
              <w:jc w:val="right"/>
              <w:rPr>
                <w:rFonts w:ascii="宋体"/>
                <w:color w:val="auto"/>
                <w:szCs w:val="21"/>
              </w:rPr>
            </w:pPr>
            <w:r>
              <w:rPr>
                <w:color w:val="auto"/>
              </w:rPr>
              <w:t>562,852.31</w:t>
            </w:r>
          </w:p>
        </w:tc>
        <w:tc>
          <w:tcPr>
            <w:tcW w:w="2046" w:type="dxa"/>
            <w:shd w:val="clear" w:color="auto" w:fill="auto"/>
          </w:tcPr>
          <w:p>
            <w:pPr>
              <w:jc w:val="right"/>
              <w:rPr>
                <w:rFonts w:ascii="宋体"/>
                <w:color w:val="auto"/>
                <w:szCs w:val="21"/>
              </w:rPr>
            </w:pPr>
            <w:r>
              <w:rPr>
                <w:color w:val="auto"/>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20铜旅01</w:t>
            </w:r>
          </w:p>
        </w:tc>
        <w:tc>
          <w:tcPr>
            <w:tcW w:w="2006" w:type="dxa"/>
            <w:shd w:val="clear" w:color="auto" w:fill="auto"/>
          </w:tcPr>
          <w:p>
            <w:pPr>
              <w:jc w:val="right"/>
              <w:rPr>
                <w:rFonts w:ascii="宋体"/>
                <w:color w:val="auto"/>
                <w:szCs w:val="21"/>
              </w:rPr>
            </w:pPr>
            <w:r>
              <w:rPr>
                <w:color w:val="auto"/>
              </w:rPr>
              <w:t>559,502.05</w:t>
            </w:r>
          </w:p>
        </w:tc>
        <w:tc>
          <w:tcPr>
            <w:tcW w:w="2046" w:type="dxa"/>
            <w:shd w:val="clear" w:color="auto" w:fill="auto"/>
          </w:tcPr>
          <w:p>
            <w:pPr>
              <w:jc w:val="right"/>
              <w:rPr>
                <w:rFonts w:ascii="宋体"/>
                <w:color w:val="auto"/>
                <w:szCs w:val="21"/>
              </w:rPr>
            </w:pPr>
            <w:r>
              <w:rPr>
                <w:color w:val="auto"/>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20文旅01</w:t>
            </w:r>
          </w:p>
        </w:tc>
        <w:tc>
          <w:tcPr>
            <w:tcW w:w="2006" w:type="dxa"/>
            <w:shd w:val="clear" w:color="auto" w:fill="auto"/>
          </w:tcPr>
          <w:p>
            <w:pPr>
              <w:jc w:val="right"/>
              <w:rPr>
                <w:rFonts w:ascii="宋体"/>
                <w:color w:val="auto"/>
                <w:szCs w:val="21"/>
              </w:rPr>
            </w:pPr>
            <w:r>
              <w:rPr>
                <w:color w:val="auto"/>
              </w:rPr>
              <w:t>514,261.15</w:t>
            </w:r>
          </w:p>
        </w:tc>
        <w:tc>
          <w:tcPr>
            <w:tcW w:w="2046" w:type="dxa"/>
            <w:shd w:val="clear" w:color="auto" w:fill="auto"/>
          </w:tcPr>
          <w:p>
            <w:pPr>
              <w:jc w:val="right"/>
              <w:rPr>
                <w:rFonts w:ascii="宋体"/>
                <w:color w:val="auto"/>
                <w:szCs w:val="21"/>
              </w:rPr>
            </w:pPr>
            <w:r>
              <w:rPr>
                <w:color w:val="auto"/>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20花竹01</w:t>
            </w:r>
          </w:p>
        </w:tc>
        <w:tc>
          <w:tcPr>
            <w:tcW w:w="2006" w:type="dxa"/>
            <w:shd w:val="clear" w:color="auto" w:fill="auto"/>
          </w:tcPr>
          <w:p>
            <w:pPr>
              <w:jc w:val="right"/>
              <w:rPr>
                <w:rFonts w:ascii="宋体"/>
                <w:color w:val="auto"/>
                <w:szCs w:val="21"/>
              </w:rPr>
            </w:pPr>
            <w:r>
              <w:rPr>
                <w:color w:val="auto"/>
              </w:rPr>
              <w:t>512,740.52</w:t>
            </w:r>
          </w:p>
        </w:tc>
        <w:tc>
          <w:tcPr>
            <w:tcW w:w="2046" w:type="dxa"/>
            <w:shd w:val="clear" w:color="auto" w:fill="auto"/>
          </w:tcPr>
          <w:p>
            <w:pPr>
              <w:jc w:val="right"/>
              <w:rPr>
                <w:rFonts w:ascii="宋体"/>
                <w:color w:val="auto"/>
                <w:szCs w:val="21"/>
              </w:rPr>
            </w:pPr>
            <w:r>
              <w:rPr>
                <w:color w:val="auto"/>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20安投债</w:t>
            </w:r>
          </w:p>
        </w:tc>
        <w:tc>
          <w:tcPr>
            <w:tcW w:w="2006" w:type="dxa"/>
            <w:shd w:val="clear" w:color="auto" w:fill="auto"/>
          </w:tcPr>
          <w:p>
            <w:pPr>
              <w:jc w:val="right"/>
              <w:rPr>
                <w:rFonts w:ascii="宋体"/>
                <w:color w:val="auto"/>
                <w:szCs w:val="21"/>
              </w:rPr>
            </w:pPr>
            <w:r>
              <w:rPr>
                <w:color w:val="auto"/>
              </w:rPr>
              <w:t>496,433.34</w:t>
            </w:r>
          </w:p>
        </w:tc>
        <w:tc>
          <w:tcPr>
            <w:tcW w:w="2046" w:type="dxa"/>
            <w:shd w:val="clear" w:color="auto" w:fill="auto"/>
          </w:tcPr>
          <w:p>
            <w:pPr>
              <w:jc w:val="right"/>
              <w:rPr>
                <w:rFonts w:ascii="宋体"/>
                <w:color w:val="auto"/>
                <w:szCs w:val="21"/>
              </w:rPr>
            </w:pPr>
            <w:r>
              <w:rPr>
                <w:color w:val="auto"/>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22贵安01</w:t>
            </w:r>
          </w:p>
        </w:tc>
        <w:tc>
          <w:tcPr>
            <w:tcW w:w="2006" w:type="dxa"/>
            <w:shd w:val="clear" w:color="auto" w:fill="auto"/>
          </w:tcPr>
          <w:p>
            <w:pPr>
              <w:jc w:val="right"/>
              <w:rPr>
                <w:rFonts w:ascii="宋体"/>
                <w:color w:val="auto"/>
                <w:szCs w:val="21"/>
              </w:rPr>
            </w:pPr>
            <w:r>
              <w:rPr>
                <w:color w:val="auto"/>
              </w:rPr>
              <w:t>475,266.79</w:t>
            </w:r>
          </w:p>
        </w:tc>
        <w:tc>
          <w:tcPr>
            <w:tcW w:w="2046" w:type="dxa"/>
            <w:shd w:val="clear" w:color="auto" w:fill="auto"/>
          </w:tcPr>
          <w:p>
            <w:pPr>
              <w:jc w:val="right"/>
              <w:rPr>
                <w:rFonts w:ascii="宋体"/>
                <w:color w:val="auto"/>
                <w:szCs w:val="21"/>
              </w:rPr>
            </w:pPr>
            <w:r>
              <w:rPr>
                <w:color w:val="auto"/>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9,157,720.77</w:t>
            </w:r>
          </w:p>
        </w:tc>
        <w:tc>
          <w:tcPr>
            <w:tcW w:w="2046" w:type="dxa"/>
            <w:shd w:val="clear" w:color="auto" w:fill="auto"/>
          </w:tcPr>
          <w:p>
            <w:pPr>
              <w:jc w:val="right"/>
              <w:rPr>
                <w:rFonts w:ascii="宋体"/>
                <w:color w:val="auto"/>
                <w:szCs w:val="21"/>
              </w:rPr>
            </w:pPr>
            <w:r>
              <w:rPr>
                <w:color w:val="auto"/>
              </w:rPr>
              <w:t>46.16</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rPr>
          <w:color w:val="auto"/>
        </w:rPr>
      </w:pPr>
      <w:bookmarkStart w:id="13" w:name="_GoBack"/>
      <w:bookmarkEnd w:id="13"/>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1"/>
      <w:bookmarkStart w:id="12" w:name="OLE_LINK10"/>
      <w:r>
        <w:rPr>
          <w:rFonts w:ascii="宋体" w:hAnsi="宋体"/>
          <w:color w:val="auto"/>
          <w:szCs w:val="21"/>
        </w:rPr>
        <w:t>2023年01月15日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dit="readOnly" w:enforcement="1" w:cryptProviderType="rsaFull" w:cryptAlgorithmClass="hash" w:cryptAlgorithmType="typeAny" w:cryptAlgorithmSid="4" w:cryptSpinCount="0" w:hash="a2h/qcB6vt8gydwhhHdW//Jf5bI=" w:salt="iiQjKw/Z+OUReOdrsOsJN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76865694"/>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2023-01-17T06:31:05Z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