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25,510,000.00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5.10%-5.80%/年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户名：工商银行贵阳农商银行超值宝３年２６期理财产品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账号：3602003829200530716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-26,177.48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180,648.36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26,014,356.12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1.0198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1.0198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0.70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26,075,623.22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26,075,623.22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26,075,623.22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745.92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0.22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26,076,369.36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20,501,707.08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4,623,802.81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243,557.83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706,555.50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26,075,623.22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4,623,802.81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1,439,288.72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1,014,284.29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743,040.57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732,489.74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722,534.21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642,998.37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641,827.98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612,868.46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601,059.46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11,774,194.61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4C2OuOUfM+TThWivfzLsAvWIecw=" w:salt="m0ByuLPD5xXcZl+WdEtUO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B870FF"/>
    <w:rsid w:val="11F52987"/>
    <w:rsid w:val="12DA60B7"/>
    <w:rsid w:val="1322763E"/>
    <w:rsid w:val="13A3270E"/>
    <w:rsid w:val="13F5709F"/>
    <w:rsid w:val="15271F3C"/>
    <w:rsid w:val="153D2966"/>
    <w:rsid w:val="15D52739"/>
    <w:rsid w:val="17E41503"/>
    <w:rsid w:val="195A5A41"/>
    <w:rsid w:val="1B405FCF"/>
    <w:rsid w:val="22676B08"/>
    <w:rsid w:val="2A3A53F1"/>
    <w:rsid w:val="2D6D7FB5"/>
    <w:rsid w:val="2F4671E3"/>
    <w:rsid w:val="315B0AB8"/>
    <w:rsid w:val="33C40040"/>
    <w:rsid w:val="342153CB"/>
    <w:rsid w:val="34296D79"/>
    <w:rsid w:val="38D97024"/>
    <w:rsid w:val="38E926E9"/>
    <w:rsid w:val="3D320D98"/>
    <w:rsid w:val="3D431B86"/>
    <w:rsid w:val="4264087B"/>
    <w:rsid w:val="42FF6865"/>
    <w:rsid w:val="43F3566A"/>
    <w:rsid w:val="44FC1717"/>
    <w:rsid w:val="457A406E"/>
    <w:rsid w:val="466D0831"/>
    <w:rsid w:val="46CD3A39"/>
    <w:rsid w:val="47BD4D02"/>
    <w:rsid w:val="48E8631C"/>
    <w:rsid w:val="494561FC"/>
    <w:rsid w:val="49D806A7"/>
    <w:rsid w:val="49FA15B3"/>
    <w:rsid w:val="4D870C30"/>
    <w:rsid w:val="4DC7164B"/>
    <w:rsid w:val="4FA4355A"/>
    <w:rsid w:val="4FE31BB9"/>
    <w:rsid w:val="51366883"/>
    <w:rsid w:val="51A03B59"/>
    <w:rsid w:val="554112E9"/>
    <w:rsid w:val="57B47E4D"/>
    <w:rsid w:val="5D30210E"/>
    <w:rsid w:val="5E660FCE"/>
    <w:rsid w:val="62446D78"/>
    <w:rsid w:val="666D5880"/>
    <w:rsid w:val="6AF71159"/>
    <w:rsid w:val="6CB373DA"/>
    <w:rsid w:val="6F8C2174"/>
    <w:rsid w:val="705B15C4"/>
    <w:rsid w:val="73083B4A"/>
    <w:rsid w:val="73181AE2"/>
    <w:rsid w:val="731F23DA"/>
    <w:rsid w:val="737F3265"/>
    <w:rsid w:val="73E97FF0"/>
    <w:rsid w:val="757F3635"/>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 w:type="table" w:customStyle="1" w:styleId="2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1.0127</c:v>
                </c:pt>
                <c:pt idx="1">
                  <c:v>1.0127</c:v>
                </c:pt>
                <c:pt idx="2">
                  <c:v>1.0127</c:v>
                </c:pt>
                <c:pt idx="3">
                  <c:v>1.0126</c:v>
                </c:pt>
                <c:pt idx="4">
                  <c:v>1.0126</c:v>
                </c:pt>
                <c:pt idx="5">
                  <c:v>1.0126</c:v>
                </c:pt>
                <c:pt idx="6">
                  <c:v>1.0126</c:v>
                </c:pt>
                <c:pt idx="7">
                  <c:v>1.0126</c:v>
                </c:pt>
                <c:pt idx="8">
                  <c:v>1.0126</c:v>
                </c:pt>
                <c:pt idx="9">
                  <c:v>1.0151</c:v>
                </c:pt>
                <c:pt idx="10">
                  <c:v>1.0154</c:v>
                </c:pt>
                <c:pt idx="11">
                  <c:v>1.0156</c:v>
                </c:pt>
                <c:pt idx="12">
                  <c:v>1.0159</c:v>
                </c:pt>
                <c:pt idx="13">
                  <c:v>1.0158</c:v>
                </c:pt>
                <c:pt idx="14">
                  <c:v>1.0157</c:v>
                </c:pt>
                <c:pt idx="15">
                  <c:v>1.0157</c:v>
                </c:pt>
                <c:pt idx="16">
                  <c:v>1.0165</c:v>
                </c:pt>
                <c:pt idx="17">
                  <c:v>1.0168</c:v>
                </c:pt>
                <c:pt idx="18">
                  <c:v>1.0172</c:v>
                </c:pt>
                <c:pt idx="19">
                  <c:v>1.0175</c:v>
                </c:pt>
                <c:pt idx="20">
                  <c:v>1.0177</c:v>
                </c:pt>
                <c:pt idx="21">
                  <c:v>1.0177</c:v>
                </c:pt>
                <c:pt idx="22">
                  <c:v>1.0177</c:v>
                </c:pt>
                <c:pt idx="23">
                  <c:v>1.0184</c:v>
                </c:pt>
                <c:pt idx="24">
                  <c:v>1.0183</c:v>
                </c:pt>
                <c:pt idx="25">
                  <c:v>1.0184</c:v>
                </c:pt>
                <c:pt idx="26">
                  <c:v>1.0188</c:v>
                </c:pt>
                <c:pt idx="27">
                  <c:v>1.0189</c:v>
                </c:pt>
                <c:pt idx="28">
                  <c:v>1.0189</c:v>
                </c:pt>
                <c:pt idx="29">
                  <c:v>1.0189</c:v>
                </c:pt>
                <c:pt idx="30">
                  <c:v>1.0197</c:v>
                </c:pt>
                <c:pt idx="31">
                  <c:v>1.02</c:v>
                </c:pt>
                <c:pt idx="32">
                  <c:v>1.0202</c:v>
                </c:pt>
                <c:pt idx="33">
                  <c:v>1.0204</c:v>
                </c:pt>
                <c:pt idx="34">
                  <c:v>1.0205</c:v>
                </c:pt>
                <c:pt idx="35">
                  <c:v>1.0205</c:v>
                </c:pt>
                <c:pt idx="36">
                  <c:v>1.0205</c:v>
                </c:pt>
                <c:pt idx="37">
                  <c:v>1.0211</c:v>
                </c:pt>
                <c:pt idx="38">
                  <c:v>1.0211</c:v>
                </c:pt>
                <c:pt idx="39">
                  <c:v>1.0212</c:v>
                </c:pt>
                <c:pt idx="40">
                  <c:v>1.0212</c:v>
                </c:pt>
                <c:pt idx="41">
                  <c:v>1.0211</c:v>
                </c:pt>
                <c:pt idx="42">
                  <c:v>1.0211</c:v>
                </c:pt>
                <c:pt idx="43">
                  <c:v>1.0211</c:v>
                </c:pt>
                <c:pt idx="44">
                  <c:v>1.0206</c:v>
                </c:pt>
                <c:pt idx="45">
                  <c:v>1.02</c:v>
                </c:pt>
                <c:pt idx="46">
                  <c:v>1.0191</c:v>
                </c:pt>
                <c:pt idx="47">
                  <c:v>1.0187</c:v>
                </c:pt>
                <c:pt idx="48">
                  <c:v>1.0184</c:v>
                </c:pt>
                <c:pt idx="49">
                  <c:v>1.0184</c:v>
                </c:pt>
                <c:pt idx="50">
                  <c:v>1.0184</c:v>
                </c:pt>
                <c:pt idx="51">
                  <c:v>1.0191</c:v>
                </c:pt>
                <c:pt idx="52">
                  <c:v>1.0191</c:v>
                </c:pt>
                <c:pt idx="53">
                  <c:v>1.0191</c:v>
                </c:pt>
                <c:pt idx="54">
                  <c:v>1.0195</c:v>
                </c:pt>
                <c:pt idx="55">
                  <c:v>1.0196</c:v>
                </c:pt>
                <c:pt idx="56">
                  <c:v>1.0196</c:v>
                </c:pt>
                <c:pt idx="57">
                  <c:v>1.0195</c:v>
                </c:pt>
                <c:pt idx="58">
                  <c:v>1.0198</c:v>
                </c:pt>
                <c:pt idx="59">
                  <c:v>1.0193</c:v>
                </c:pt>
                <c:pt idx="60">
                  <c:v>1.0192</c:v>
                </c:pt>
                <c:pt idx="61">
                  <c:v>1.0189</c:v>
                </c:pt>
                <c:pt idx="62">
                  <c:v>1.0188</c:v>
                </c:pt>
                <c:pt idx="63">
                  <c:v>1.0188</c:v>
                </c:pt>
                <c:pt idx="64">
                  <c:v>1.0188</c:v>
                </c:pt>
                <c:pt idx="65">
                  <c:v>1.0191</c:v>
                </c:pt>
                <c:pt idx="66">
                  <c:v>1.0188</c:v>
                </c:pt>
                <c:pt idx="67">
                  <c:v>1.0186</c:v>
                </c:pt>
                <c:pt idx="68">
                  <c:v>1.0183</c:v>
                </c:pt>
                <c:pt idx="69">
                  <c:v>1.0182</c:v>
                </c:pt>
                <c:pt idx="70">
                  <c:v>1.0182</c:v>
                </c:pt>
                <c:pt idx="71">
                  <c:v>1.0182</c:v>
                </c:pt>
                <c:pt idx="72">
                  <c:v>1.0183</c:v>
                </c:pt>
                <c:pt idx="73">
                  <c:v>1.0166</c:v>
                </c:pt>
                <c:pt idx="74">
                  <c:v>1.0164</c:v>
                </c:pt>
                <c:pt idx="75">
                  <c:v>1.0168</c:v>
                </c:pt>
                <c:pt idx="76">
                  <c:v>1.0167</c:v>
                </c:pt>
                <c:pt idx="77">
                  <c:v>1.0167</c:v>
                </c:pt>
                <c:pt idx="78">
                  <c:v>1.0167</c:v>
                </c:pt>
                <c:pt idx="79">
                  <c:v>1.0169</c:v>
                </c:pt>
                <c:pt idx="80">
                  <c:v>1.017</c:v>
                </c:pt>
                <c:pt idx="81">
                  <c:v>1.0171</c:v>
                </c:pt>
                <c:pt idx="82">
                  <c:v>1.0174</c:v>
                </c:pt>
                <c:pt idx="83">
                  <c:v>1.0179</c:v>
                </c:pt>
                <c:pt idx="84">
                  <c:v>1.0179</c:v>
                </c:pt>
                <c:pt idx="85">
                  <c:v>1.0179</c:v>
                </c:pt>
                <c:pt idx="86">
                  <c:v>1.0188</c:v>
                </c:pt>
                <c:pt idx="87">
                  <c:v>1.0188</c:v>
                </c:pt>
                <c:pt idx="88">
                  <c:v>1.0189</c:v>
                </c:pt>
                <c:pt idx="89">
                  <c:v>1.0192</c:v>
                </c:pt>
                <c:pt idx="90">
                  <c:v>1.0196</c:v>
                </c:pt>
                <c:pt idx="91">
                  <c:v>1.0198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-9.87459267305368e-5</c:v>
                </c:pt>
                <c:pt idx="4">
                  <c:v>-9.87459267305368e-5</c:v>
                </c:pt>
                <c:pt idx="5">
                  <c:v>-9.87459267305368e-5</c:v>
                </c:pt>
                <c:pt idx="6">
                  <c:v>-9.87459267305368e-5</c:v>
                </c:pt>
                <c:pt idx="7">
                  <c:v>-9.87459267305368e-5</c:v>
                </c:pt>
                <c:pt idx="8">
                  <c:v>-9.87459267305368e-5</c:v>
                </c:pt>
                <c:pt idx="9">
                  <c:v>0.00236990224153244</c:v>
                </c:pt>
                <c:pt idx="10">
                  <c:v>0.00266614002172427</c:v>
                </c:pt>
                <c:pt idx="11">
                  <c:v>0.00286363187518535</c:v>
                </c:pt>
                <c:pt idx="12">
                  <c:v>0.00315986965537673</c:v>
                </c:pt>
                <c:pt idx="13">
                  <c:v>0.0030611237286462</c:v>
                </c:pt>
                <c:pt idx="14">
                  <c:v>0.00296237780191588</c:v>
                </c:pt>
                <c:pt idx="15">
                  <c:v>0.00296237780191588</c:v>
                </c:pt>
                <c:pt idx="16">
                  <c:v>0.00375234521575996</c:v>
                </c:pt>
                <c:pt idx="17">
                  <c:v>0.00404858299595134</c:v>
                </c:pt>
                <c:pt idx="18">
                  <c:v>0.00444356670287371</c:v>
                </c:pt>
                <c:pt idx="19">
                  <c:v>0.0047398044830651</c:v>
                </c:pt>
                <c:pt idx="20">
                  <c:v>0.00493729633652618</c:v>
                </c:pt>
                <c:pt idx="21">
                  <c:v>0.00493729633652618</c:v>
                </c:pt>
                <c:pt idx="22">
                  <c:v>0.00493729633652618</c:v>
                </c:pt>
                <c:pt idx="23">
                  <c:v>0.00562851782363971</c:v>
                </c:pt>
                <c:pt idx="24">
                  <c:v>0.0055297718969094</c:v>
                </c:pt>
                <c:pt idx="25">
                  <c:v>0.00562851782363971</c:v>
                </c:pt>
                <c:pt idx="26">
                  <c:v>0.00602350153056186</c:v>
                </c:pt>
                <c:pt idx="27">
                  <c:v>0.0061222474572924</c:v>
                </c:pt>
                <c:pt idx="28">
                  <c:v>0.0061222474572924</c:v>
                </c:pt>
                <c:pt idx="29">
                  <c:v>0.0061222474572924</c:v>
                </c:pt>
                <c:pt idx="30">
                  <c:v>0.00691221487113669</c:v>
                </c:pt>
                <c:pt idx="31">
                  <c:v>0.0072084526513283</c:v>
                </c:pt>
                <c:pt idx="32">
                  <c:v>0.00740594450478915</c:v>
                </c:pt>
                <c:pt idx="33">
                  <c:v>0.00760343635825023</c:v>
                </c:pt>
                <c:pt idx="34">
                  <c:v>0.00770218228498076</c:v>
                </c:pt>
                <c:pt idx="35">
                  <c:v>0.00770218228498076</c:v>
                </c:pt>
                <c:pt idx="36">
                  <c:v>0.00770218228498076</c:v>
                </c:pt>
                <c:pt idx="37">
                  <c:v>0.00829465784536376</c:v>
                </c:pt>
                <c:pt idx="38">
                  <c:v>0.00829465784536376</c:v>
                </c:pt>
                <c:pt idx="39">
                  <c:v>0.00839340377209452</c:v>
                </c:pt>
                <c:pt idx="40">
                  <c:v>0.00839340377209452</c:v>
                </c:pt>
                <c:pt idx="41">
                  <c:v>0.00829465784536376</c:v>
                </c:pt>
                <c:pt idx="42">
                  <c:v>0.00829465784536376</c:v>
                </c:pt>
                <c:pt idx="43">
                  <c:v>0.00829465784536376</c:v>
                </c:pt>
                <c:pt idx="44">
                  <c:v>0.0078009282117113</c:v>
                </c:pt>
                <c:pt idx="45">
                  <c:v>0.0072084526513283</c:v>
                </c:pt>
                <c:pt idx="46">
                  <c:v>0.00631973931075347</c:v>
                </c:pt>
                <c:pt idx="47">
                  <c:v>0.00592475560383132</c:v>
                </c:pt>
                <c:pt idx="48">
                  <c:v>0.00562851782363971</c:v>
                </c:pt>
                <c:pt idx="49">
                  <c:v>0.00562851782363971</c:v>
                </c:pt>
                <c:pt idx="50">
                  <c:v>0.00562851782363971</c:v>
                </c:pt>
                <c:pt idx="51">
                  <c:v>0.00631973931075347</c:v>
                </c:pt>
                <c:pt idx="52">
                  <c:v>0.00631973931075347</c:v>
                </c:pt>
                <c:pt idx="53">
                  <c:v>0.00631973931075347</c:v>
                </c:pt>
                <c:pt idx="54">
                  <c:v>0.00671472301767562</c:v>
                </c:pt>
                <c:pt idx="55">
                  <c:v>0.00681346894440615</c:v>
                </c:pt>
                <c:pt idx="56">
                  <c:v>0.00681346894440615</c:v>
                </c:pt>
                <c:pt idx="57">
                  <c:v>0.00671472301767562</c:v>
                </c:pt>
                <c:pt idx="58">
                  <c:v>0.00701096079786723</c:v>
                </c:pt>
                <c:pt idx="59">
                  <c:v>0.00651723116421454</c:v>
                </c:pt>
                <c:pt idx="60">
                  <c:v>0.00641848523748423</c:v>
                </c:pt>
                <c:pt idx="61">
                  <c:v>0.0061222474572924</c:v>
                </c:pt>
                <c:pt idx="62">
                  <c:v>0.00602350153056186</c:v>
                </c:pt>
                <c:pt idx="63">
                  <c:v>0.00602350153056186</c:v>
                </c:pt>
                <c:pt idx="64">
                  <c:v>0.00602350153056186</c:v>
                </c:pt>
                <c:pt idx="65">
                  <c:v>0.00631973931075347</c:v>
                </c:pt>
                <c:pt idx="66">
                  <c:v>0.00602350153056186</c:v>
                </c:pt>
                <c:pt idx="67">
                  <c:v>0.00582600967710079</c:v>
                </c:pt>
                <c:pt idx="68">
                  <c:v>0.0055297718969094</c:v>
                </c:pt>
                <c:pt idx="69">
                  <c:v>0.00543102597017886</c:v>
                </c:pt>
                <c:pt idx="70">
                  <c:v>0.00543102597017886</c:v>
                </c:pt>
                <c:pt idx="71">
                  <c:v>0.00543102597017886</c:v>
                </c:pt>
                <c:pt idx="72">
                  <c:v>0.0055297718969094</c:v>
                </c:pt>
                <c:pt idx="73">
                  <c:v>0.00385109114249049</c:v>
                </c:pt>
                <c:pt idx="74">
                  <c:v>0.00365359928902942</c:v>
                </c:pt>
                <c:pt idx="75">
                  <c:v>0.00404858299595134</c:v>
                </c:pt>
                <c:pt idx="76">
                  <c:v>0.00394983706922081</c:v>
                </c:pt>
                <c:pt idx="77">
                  <c:v>0.00394983706922081</c:v>
                </c:pt>
                <c:pt idx="78">
                  <c:v>0.00394983706922081</c:v>
                </c:pt>
                <c:pt idx="79">
                  <c:v>0.00414732892268188</c:v>
                </c:pt>
                <c:pt idx="80">
                  <c:v>0.00424607484941242</c:v>
                </c:pt>
                <c:pt idx="81">
                  <c:v>0.00434482077614295</c:v>
                </c:pt>
                <c:pt idx="82">
                  <c:v>0.00464105855633479</c:v>
                </c:pt>
                <c:pt idx="83">
                  <c:v>0.00513478818998725</c:v>
                </c:pt>
                <c:pt idx="84">
                  <c:v>0.00513478818998725</c:v>
                </c:pt>
                <c:pt idx="85">
                  <c:v>0.00513478818998725</c:v>
                </c:pt>
                <c:pt idx="86">
                  <c:v>0.00602350153056186</c:v>
                </c:pt>
                <c:pt idx="87">
                  <c:v>0.00602350153056186</c:v>
                </c:pt>
                <c:pt idx="88">
                  <c:v>0.0061222474572924</c:v>
                </c:pt>
                <c:pt idx="89">
                  <c:v>0.00641848523748423</c:v>
                </c:pt>
                <c:pt idx="90">
                  <c:v>0.00681346894440615</c:v>
                </c:pt>
                <c:pt idx="91">
                  <c:v>0.00701096079786723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2023-01-17T06:33:45Z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