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超值宝3年第6期理财产品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38,381,800.38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2020年05月06日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贵阳农村商业银行股份有限公司-超值宝3年第6期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851900159610358</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-194,621.35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2,208,467.01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38,381,800.38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1.2047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6.10</w:t>
            </w:r>
          </w:p>
        </w:tc>
        <w:tc>
          <w:tcPr>
            <w:tcW w:w="1843" w:type="dxa"/>
            <w:vAlign w:val="center"/>
          </w:tcPr>
          <w:p>
            <w:pPr>
              <w:jc w:val="right"/>
              <w:rPr>
                <w:rFonts w:ascii="宋体" w:hAnsi="宋体"/>
                <w:color w:val="auto"/>
              </w:rPr>
            </w:pPr>
            <w:r>
              <w:rPr>
                <w:rFonts w:ascii="宋体" w:hAnsi="宋体"/>
                <w:color w:val="auto"/>
              </w:rPr>
              <w:t>6.70</w:t>
            </w:r>
          </w:p>
        </w:tc>
        <w:tc>
          <w:tcPr>
            <w:tcW w:w="1843" w:type="dxa"/>
            <w:vAlign w:val="center"/>
          </w:tcPr>
          <w:p>
            <w:pPr>
              <w:jc w:val="right"/>
              <w:rPr>
                <w:rFonts w:ascii="宋体" w:hAnsi="宋体"/>
                <w:color w:val="auto"/>
              </w:rPr>
            </w:pPr>
            <w:r>
              <w:rPr>
                <w:rFonts w:ascii="宋体" w:hAnsi="宋体"/>
                <w:color w:val="auto"/>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20.47</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17.81</w:t>
            </w:r>
          </w:p>
        </w:tc>
        <w:tc>
          <w:tcPr>
            <w:tcW w:w="1843" w:type="dxa"/>
            <w:vAlign w:val="center"/>
          </w:tcPr>
          <w:p>
            <w:pPr>
              <w:jc w:val="right"/>
              <w:rPr>
                <w:rFonts w:ascii="宋体" w:hAnsi="宋体"/>
                <w:color w:val="auto"/>
              </w:rPr>
            </w:pPr>
            <w:r>
              <w:rPr>
                <w:rFonts w:ascii="宋体" w:hAnsi="宋体"/>
                <w:color w:val="auto"/>
              </w:rPr>
              <w:t>17.81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0524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0524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6.10%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38,863,739.30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38,863,739.30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146.77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38,863,739.30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38,863,886.07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31,630,142.82</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31,630,142.82</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6,898,414.01</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364,543.56</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122.41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38,893,222.80</w:t>
            </w:r>
          </w:p>
        </w:tc>
        <w:tc>
          <w:tcPr>
            <w:tcW w:w="2127" w:type="dxa"/>
            <w:shd w:val="clear" w:color="auto" w:fill="auto"/>
          </w:tcPr>
          <w:p>
            <w:pPr>
              <w:jc w:val="right"/>
              <w:rPr>
                <w:rFonts w:ascii="宋体" w:hAnsi="宋体"/>
                <w:color w:val="auto"/>
              </w:rPr>
            </w:pPr>
            <w:r>
              <w:rPr>
                <w:rFonts w:hint="eastAsia" w:ascii="宋体" w:hAnsi="宋体"/>
                <w:color w:val="auto"/>
              </w:rPr>
              <w:t>100.08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6,898,414.01</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2,186,315.39</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1,549,050.93</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1,192,421.72</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1,102,498.79</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1,095,936.40</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1,007,319.84</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1,004,341.26</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972,399.23</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930,938.82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17,939,636.39</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EUIWG0lBw+Ds5qjLp/WxckCJ7yQ=" w:salt="lbRhTEwR94AvhRZ7PjpqF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3A3270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2023-03-16T06:30:55Z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