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超值宝3年第7期净值型理财产品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贵阳农商银行股份有限公司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超值宝3年第7期净值型理财产品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C1188320000064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32,470,000.00份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36,682,217.55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2020年06月03日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6.6%/年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户名：贵阳农村商业银行股份有限公司-超值宝3年第7期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851900159610361</w:t>
            </w:r>
          </w:p>
          <w:p>
            <w:pPr>
              <w:rPr>
                <w:rFonts w:ascii="宋体" w:hAnsi="宋体"/>
                <w:color w:val="auto"/>
                <w:szCs w:val="21"/>
                <w:shd w:val="clear" w:color="auto" w:fill="FFFFFF"/>
              </w:rPr>
            </w:pPr>
            <w:r>
              <w:rPr>
                <w:rFonts w:hint="eastAsia" w:ascii="宋体" w:hAnsi="宋体"/>
                <w:color w:val="auto"/>
                <w:szCs w:val="21"/>
                <w:shd w:val="clear" w:color="auto" w:fill="FFFFFF"/>
              </w:rPr>
              <w:t>开户行：</w:t>
            </w:r>
            <w:r>
              <w:rPr>
                <w:rFonts w:ascii="宋体" w:hAnsi="宋体"/>
                <w:color w:val="auto"/>
                <w:szCs w:val="21"/>
                <w:shd w:val="clear" w:color="auto" w:fill="FFFFFF"/>
              </w:rPr>
              <w:t xml:space="preserve"> </w:t>
            </w:r>
            <w:r>
              <w:rPr>
                <w:rFonts w:hint="eastAsia" w:ascii="宋体" w:hAnsi="宋体"/>
                <w:color w:val="auto"/>
                <w:szCs w:val="21"/>
                <w:shd w:val="clear" w:color="auto" w:fill="FFFFFF"/>
              </w:rPr>
              <w:t>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-47,658.62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597,498.35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36,682,217.55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1.1297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1.1297</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782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52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2523" w:type="dxa"/>
            <w:shd w:val="clear" w:color="auto" w:fill="D9D9D9"/>
            <w:vAlign w:val="center"/>
          </w:tcPr>
          <w:p>
            <w:pPr>
              <w:jc w:val="center"/>
              <w:rPr>
                <w:rFonts w:ascii="宋体" w:hAnsi="宋体"/>
                <w:b/>
                <w:color w:val="auto"/>
              </w:rPr>
            </w:pPr>
            <w:r>
              <w:rPr>
                <w:rFonts w:hint="eastAsia"/>
                <w:b/>
                <w:color w:val="auto"/>
              </w:rPr>
              <w:t>净值增长率（%）</w:t>
            </w:r>
          </w:p>
        </w:tc>
        <w:tc>
          <w:tcPr>
            <w:tcW w:w="2552"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2523" w:type="dxa"/>
            <w:vAlign w:val="center"/>
          </w:tcPr>
          <w:p>
            <w:pPr>
              <w:spacing w:line="300" w:lineRule="auto"/>
              <w:jc w:val="right"/>
              <w:rPr>
                <w:rFonts w:ascii="微软雅黑" w:hAnsi="微软雅黑" w:eastAsia="微软雅黑" w:cs="微软雅黑"/>
                <w:color w:val="auto"/>
              </w:rPr>
            </w:pPr>
            <w:r>
              <w:rPr>
                <w:rFonts w:ascii="宋体" w:hAnsi="宋体"/>
                <w:color w:val="auto"/>
              </w:rPr>
              <w:t>1.66</w:t>
            </w:r>
          </w:p>
        </w:tc>
        <w:tc>
          <w:tcPr>
            <w:tcW w:w="2552" w:type="dxa"/>
            <w:vAlign w:val="center"/>
          </w:tcPr>
          <w:p>
            <w:pPr>
              <w:jc w:val="right"/>
              <w:rPr>
                <w:rFonts w:ascii="宋体" w:hAnsi="宋体"/>
                <w:color w:val="auto"/>
              </w:rPr>
            </w:pPr>
            <w:r>
              <w:rPr>
                <w:rFonts w:hint="eastAsia" w:ascii="宋体" w:hAnsi="宋体"/>
                <w:color w:val="auto"/>
              </w:rPr>
              <w:t>1</w:t>
            </w:r>
            <w:r>
              <w:rPr>
                <w:rFonts w:ascii="宋体" w:hAnsi="宋体"/>
                <w:color w:val="auto"/>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2523" w:type="dxa"/>
            <w:vAlign w:val="center"/>
          </w:tcPr>
          <w:p>
            <w:pPr>
              <w:jc w:val="right"/>
              <w:rPr>
                <w:rFonts w:ascii="宋体" w:hAnsi="宋体"/>
                <w:color w:val="auto"/>
              </w:rPr>
            </w:pPr>
            <w:r>
              <w:rPr>
                <w:rFonts w:ascii="宋体" w:hAnsi="宋体"/>
                <w:color w:val="auto"/>
              </w:rPr>
              <w:t>12.97</w:t>
            </w:r>
            <w:bookmarkStart w:id="7" w:name="OLE_LINK4"/>
            <w:bookmarkEnd w:id="7"/>
            <w:bookmarkStart w:id="8" w:name="OLE_LINK7"/>
            <w:bookmarkEnd w:id="8"/>
          </w:p>
        </w:tc>
        <w:tc>
          <w:tcPr>
            <w:tcW w:w="2552" w:type="dxa"/>
            <w:vAlign w:val="center"/>
          </w:tcPr>
          <w:p>
            <w:pPr>
              <w:jc w:val="right"/>
              <w:rPr>
                <w:rFonts w:ascii="宋体" w:hAnsi="宋体"/>
                <w:color w:val="auto"/>
              </w:rPr>
            </w:pPr>
            <w:r>
              <w:rPr>
                <w:rFonts w:hint="eastAsia" w:ascii="宋体" w:hAnsi="宋体"/>
                <w:color w:val="auto"/>
              </w:rPr>
              <w:t>1</w:t>
            </w:r>
            <w:r>
              <w:rPr>
                <w:rFonts w:ascii="宋体" w:hAnsi="宋体"/>
                <w:color w:val="auto"/>
              </w:rPr>
              <w:t>0.43</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1.66%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w:t>
            </w:r>
          </w:p>
        </w:tc>
        <w:tc>
          <w:tcPr>
            <w:tcW w:w="2066" w:type="dxa"/>
            <w:shd w:val="clear" w:color="auto" w:fill="auto"/>
          </w:tcPr>
          <w:p>
            <w:pPr>
              <w:jc w:val="right"/>
              <w:rPr>
                <w:rFonts w:ascii="宋体"/>
                <w:color w:val="auto"/>
                <w:szCs w:val="21"/>
              </w:rPr>
            </w:pPr>
            <w:r>
              <w:rPr>
                <w:color w:val="auto"/>
              </w:rPr>
              <w:t>36,962,118.39</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36,962,118.39</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136.51</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36,962,118.39</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36,962,254.90</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34,573,398.87</w:t>
            </w:r>
          </w:p>
        </w:tc>
        <w:tc>
          <w:tcPr>
            <w:tcW w:w="2127" w:type="dxa"/>
            <w:shd w:val="clear" w:color="auto" w:fill="auto"/>
            <w:vAlign w:val="center"/>
          </w:tcPr>
          <w:p>
            <w:pPr>
              <w:jc w:val="right"/>
              <w:rPr>
                <w:rFonts w:ascii="宋体" w:hAnsi="宋体"/>
                <w:color w:val="auto"/>
              </w:rPr>
            </w:pPr>
            <w:r>
              <w:rPr>
                <w:rFonts w:hint="eastAsia" w:ascii="宋体" w:hAnsi="宋体"/>
                <w:color w:val="auto"/>
              </w:rPr>
              <w:t>93.54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34,573,398.87</w:t>
            </w:r>
          </w:p>
        </w:tc>
        <w:tc>
          <w:tcPr>
            <w:tcW w:w="2127" w:type="dxa"/>
            <w:shd w:val="clear" w:color="auto" w:fill="auto"/>
            <w:vAlign w:val="center"/>
          </w:tcPr>
          <w:p>
            <w:pPr>
              <w:jc w:val="right"/>
              <w:rPr>
                <w:rFonts w:ascii="宋体" w:hAnsi="宋体"/>
                <w:color w:val="auto"/>
              </w:rPr>
            </w:pPr>
            <w:r>
              <w:rPr>
                <w:rFonts w:hint="eastAsia" w:ascii="宋体" w:hAnsi="宋体"/>
                <w:color w:val="auto"/>
              </w:rPr>
              <w:t>93.54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912,274.76</w:t>
            </w:r>
          </w:p>
        </w:tc>
        <w:tc>
          <w:tcPr>
            <w:tcW w:w="2127" w:type="dxa"/>
            <w:shd w:val="clear" w:color="auto" w:fill="auto"/>
            <w:vAlign w:val="center"/>
          </w:tcPr>
          <w:p>
            <w:pPr>
              <w:jc w:val="right"/>
              <w:rPr>
                <w:rFonts w:ascii="宋体" w:hAnsi="宋体"/>
                <w:color w:val="auto"/>
              </w:rPr>
            </w:pPr>
            <w:r>
              <w:rPr>
                <w:rFonts w:hint="eastAsia" w:ascii="宋体" w:hAnsi="宋体"/>
                <w:color w:val="auto"/>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343,459.12</w:t>
            </w:r>
          </w:p>
        </w:tc>
        <w:tc>
          <w:tcPr>
            <w:tcW w:w="2127" w:type="dxa"/>
            <w:shd w:val="clear" w:color="auto" w:fill="auto"/>
            <w:vAlign w:val="center"/>
          </w:tcPr>
          <w:p>
            <w:pPr>
              <w:jc w:val="right"/>
              <w:rPr>
                <w:rFonts w:ascii="宋体" w:hAnsi="宋体"/>
                <w:color w:val="auto"/>
              </w:rPr>
            </w:pPr>
            <w:r>
              <w:rPr>
                <w:rFonts w:hint="eastAsia" w:ascii="宋体" w:hAnsi="宋体"/>
                <w:color w:val="auto"/>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1,182,050.98</w:t>
            </w:r>
          </w:p>
        </w:tc>
        <w:tc>
          <w:tcPr>
            <w:tcW w:w="2127" w:type="dxa"/>
            <w:shd w:val="clear" w:color="auto" w:fill="auto"/>
            <w:vAlign w:val="center"/>
          </w:tcPr>
          <w:p>
            <w:pPr>
              <w:jc w:val="right"/>
              <w:rPr>
                <w:rFonts w:ascii="宋体" w:hAnsi="宋体"/>
                <w:color w:val="auto"/>
              </w:rPr>
            </w:pPr>
            <w:r>
              <w:rPr>
                <w:rFonts w:hint="eastAsia" w:ascii="宋体" w:hAnsi="宋体"/>
                <w:color w:val="auto"/>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37,011,183.74</w:t>
            </w:r>
          </w:p>
        </w:tc>
        <w:tc>
          <w:tcPr>
            <w:tcW w:w="2127" w:type="dxa"/>
            <w:shd w:val="clear" w:color="auto" w:fill="auto"/>
          </w:tcPr>
          <w:p>
            <w:pPr>
              <w:jc w:val="right"/>
              <w:rPr>
                <w:rFonts w:ascii="宋体" w:hAnsi="宋体"/>
                <w:color w:val="auto"/>
              </w:rPr>
            </w:pPr>
            <w:r>
              <w:rPr>
                <w:rFonts w:hint="eastAsia" w:ascii="宋体" w:hAnsi="宋体"/>
                <w:color w:val="auto"/>
              </w:rPr>
              <w:t>100.13</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2,031,044.16</w:t>
            </w:r>
          </w:p>
        </w:tc>
        <w:tc>
          <w:tcPr>
            <w:tcW w:w="2113" w:type="dxa"/>
            <w:shd w:val="clear" w:color="auto" w:fill="auto"/>
          </w:tcPr>
          <w:p>
            <w:pPr>
              <w:jc w:val="right"/>
              <w:rPr>
                <w:rFonts w:ascii="宋体"/>
                <w:color w:val="auto"/>
                <w:szCs w:val="21"/>
              </w:rPr>
            </w:pPr>
            <w:r>
              <w:rPr>
                <w:color w:val="auto"/>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19遵经02</w:t>
            </w:r>
          </w:p>
        </w:tc>
        <w:tc>
          <w:tcPr>
            <w:tcW w:w="2138" w:type="dxa"/>
            <w:shd w:val="clear" w:color="auto" w:fill="auto"/>
          </w:tcPr>
          <w:p>
            <w:pPr>
              <w:jc w:val="right"/>
              <w:rPr>
                <w:rFonts w:ascii="宋体"/>
                <w:color w:val="auto"/>
                <w:szCs w:val="21"/>
              </w:rPr>
            </w:pPr>
            <w:r>
              <w:rPr>
                <w:color w:val="auto"/>
              </w:rPr>
              <w:t>1,430,341.00</w:t>
            </w:r>
          </w:p>
        </w:tc>
        <w:tc>
          <w:tcPr>
            <w:tcW w:w="2113" w:type="dxa"/>
            <w:shd w:val="clear" w:color="auto" w:fill="auto"/>
          </w:tcPr>
          <w:p>
            <w:pPr>
              <w:jc w:val="right"/>
              <w:rPr>
                <w:rFonts w:ascii="宋体"/>
                <w:color w:val="auto"/>
                <w:szCs w:val="21"/>
              </w:rPr>
            </w:pPr>
            <w:r>
              <w:rPr>
                <w:color w:val="auto"/>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20铜开01</w:t>
            </w:r>
          </w:p>
        </w:tc>
        <w:tc>
          <w:tcPr>
            <w:tcW w:w="2138" w:type="dxa"/>
            <w:shd w:val="clear" w:color="auto" w:fill="auto"/>
          </w:tcPr>
          <w:p>
            <w:pPr>
              <w:jc w:val="right"/>
              <w:rPr>
                <w:rFonts w:ascii="宋体"/>
                <w:color w:val="auto"/>
                <w:szCs w:val="21"/>
              </w:rPr>
            </w:pPr>
            <w:r>
              <w:rPr>
                <w:color w:val="auto"/>
              </w:rPr>
              <w:t>1,410,150.95</w:t>
            </w:r>
          </w:p>
        </w:tc>
        <w:tc>
          <w:tcPr>
            <w:tcW w:w="2113" w:type="dxa"/>
            <w:shd w:val="clear" w:color="auto" w:fill="auto"/>
          </w:tcPr>
          <w:p>
            <w:pPr>
              <w:jc w:val="right"/>
              <w:rPr>
                <w:rFonts w:ascii="宋体"/>
                <w:color w:val="auto"/>
                <w:szCs w:val="21"/>
              </w:rPr>
            </w:pPr>
            <w:r>
              <w:rPr>
                <w:color w:val="auto"/>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19黔水债</w:t>
            </w:r>
          </w:p>
        </w:tc>
        <w:tc>
          <w:tcPr>
            <w:tcW w:w="2138" w:type="dxa"/>
            <w:shd w:val="clear" w:color="auto" w:fill="auto"/>
          </w:tcPr>
          <w:p>
            <w:pPr>
              <w:jc w:val="right"/>
              <w:rPr>
                <w:rFonts w:ascii="宋体"/>
                <w:color w:val="auto"/>
                <w:szCs w:val="21"/>
              </w:rPr>
            </w:pPr>
            <w:r>
              <w:rPr>
                <w:color w:val="auto"/>
              </w:rPr>
              <w:t>1,189,605.32</w:t>
            </w:r>
          </w:p>
        </w:tc>
        <w:tc>
          <w:tcPr>
            <w:tcW w:w="2113" w:type="dxa"/>
            <w:shd w:val="clear" w:color="auto" w:fill="auto"/>
          </w:tcPr>
          <w:p>
            <w:pPr>
              <w:jc w:val="right"/>
              <w:rPr>
                <w:rFonts w:ascii="宋体"/>
                <w:color w:val="auto"/>
                <w:szCs w:val="21"/>
              </w:rPr>
            </w:pPr>
            <w:r>
              <w:rPr>
                <w:color w:val="auto"/>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20遵旅02</w:t>
            </w:r>
          </w:p>
        </w:tc>
        <w:tc>
          <w:tcPr>
            <w:tcW w:w="2138" w:type="dxa"/>
            <w:shd w:val="clear" w:color="auto" w:fill="auto"/>
          </w:tcPr>
          <w:p>
            <w:pPr>
              <w:jc w:val="right"/>
              <w:rPr>
                <w:rFonts w:ascii="宋体"/>
                <w:color w:val="auto"/>
                <w:szCs w:val="21"/>
              </w:rPr>
            </w:pPr>
            <w:r>
              <w:rPr>
                <w:color w:val="auto"/>
              </w:rPr>
              <w:t>1,098,540.76</w:t>
            </w:r>
          </w:p>
        </w:tc>
        <w:tc>
          <w:tcPr>
            <w:tcW w:w="2113"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20遵旅01</w:t>
            </w:r>
          </w:p>
        </w:tc>
        <w:tc>
          <w:tcPr>
            <w:tcW w:w="2138" w:type="dxa"/>
            <w:shd w:val="clear" w:color="auto" w:fill="auto"/>
          </w:tcPr>
          <w:p>
            <w:pPr>
              <w:jc w:val="right"/>
              <w:rPr>
                <w:rFonts w:ascii="宋体"/>
                <w:color w:val="auto"/>
                <w:szCs w:val="21"/>
              </w:rPr>
            </w:pPr>
            <w:r>
              <w:rPr>
                <w:color w:val="auto"/>
              </w:rPr>
              <w:t>1,071,534.59</w:t>
            </w:r>
          </w:p>
        </w:tc>
        <w:tc>
          <w:tcPr>
            <w:tcW w:w="2113" w:type="dxa"/>
            <w:shd w:val="clear" w:color="auto" w:fill="auto"/>
          </w:tcPr>
          <w:p>
            <w:pPr>
              <w:jc w:val="right"/>
              <w:rPr>
                <w:rFonts w:ascii="宋体"/>
                <w:color w:val="auto"/>
                <w:szCs w:val="21"/>
              </w:rPr>
            </w:pPr>
            <w:r>
              <w:rPr>
                <w:color w:val="auto"/>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19安投02</w:t>
            </w:r>
          </w:p>
        </w:tc>
        <w:tc>
          <w:tcPr>
            <w:tcW w:w="2138" w:type="dxa"/>
            <w:shd w:val="clear" w:color="auto" w:fill="auto"/>
          </w:tcPr>
          <w:p>
            <w:pPr>
              <w:jc w:val="right"/>
              <w:rPr>
                <w:rFonts w:ascii="宋体"/>
                <w:color w:val="auto"/>
                <w:szCs w:val="21"/>
              </w:rPr>
            </w:pPr>
            <w:r>
              <w:rPr>
                <w:color w:val="auto"/>
              </w:rPr>
              <w:t>1,066,749.30</w:t>
            </w:r>
          </w:p>
        </w:tc>
        <w:tc>
          <w:tcPr>
            <w:tcW w:w="2113" w:type="dxa"/>
            <w:shd w:val="clear" w:color="auto" w:fill="auto"/>
          </w:tcPr>
          <w:p>
            <w:pPr>
              <w:jc w:val="right"/>
              <w:rPr>
                <w:rFonts w:ascii="宋体"/>
                <w:color w:val="auto"/>
                <w:szCs w:val="21"/>
              </w:rPr>
            </w:pPr>
            <w:r>
              <w:rPr>
                <w:color w:val="auto"/>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20南明01</w:t>
            </w:r>
          </w:p>
        </w:tc>
        <w:tc>
          <w:tcPr>
            <w:tcW w:w="2138" w:type="dxa"/>
            <w:shd w:val="clear" w:color="auto" w:fill="auto"/>
          </w:tcPr>
          <w:p>
            <w:pPr>
              <w:jc w:val="right"/>
              <w:rPr>
                <w:rFonts w:ascii="宋体"/>
                <w:color w:val="auto"/>
                <w:szCs w:val="21"/>
              </w:rPr>
            </w:pPr>
            <w:r>
              <w:rPr>
                <w:color w:val="auto"/>
              </w:rPr>
              <w:t>1,053,442.56</w:t>
            </w:r>
          </w:p>
        </w:tc>
        <w:tc>
          <w:tcPr>
            <w:tcW w:w="2113" w:type="dxa"/>
            <w:shd w:val="clear" w:color="auto" w:fill="auto"/>
          </w:tcPr>
          <w:p>
            <w:pPr>
              <w:jc w:val="right"/>
              <w:rPr>
                <w:rFonts w:ascii="宋体"/>
                <w:color w:val="auto"/>
                <w:szCs w:val="21"/>
              </w:rPr>
            </w:pPr>
            <w:r>
              <w:rPr>
                <w:color w:val="auto"/>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19安顺02</w:t>
            </w:r>
          </w:p>
        </w:tc>
        <w:tc>
          <w:tcPr>
            <w:tcW w:w="2138" w:type="dxa"/>
            <w:shd w:val="clear" w:color="auto" w:fill="auto"/>
          </w:tcPr>
          <w:p>
            <w:pPr>
              <w:jc w:val="right"/>
              <w:rPr>
                <w:rFonts w:ascii="宋体"/>
                <w:color w:val="auto"/>
                <w:szCs w:val="21"/>
              </w:rPr>
            </w:pPr>
            <w:r>
              <w:rPr>
                <w:color w:val="auto"/>
              </w:rPr>
              <w:t>1,034,148.34</w:t>
            </w:r>
          </w:p>
        </w:tc>
        <w:tc>
          <w:tcPr>
            <w:tcW w:w="2113"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1,023,912.92</w:t>
            </w:r>
          </w:p>
        </w:tc>
        <w:tc>
          <w:tcPr>
            <w:tcW w:w="2113" w:type="dxa"/>
            <w:shd w:val="clear" w:color="auto" w:fill="auto"/>
          </w:tcPr>
          <w:p>
            <w:pPr>
              <w:jc w:val="right"/>
              <w:rPr>
                <w:rFonts w:ascii="宋体"/>
                <w:color w:val="auto"/>
                <w:szCs w:val="21"/>
              </w:rPr>
            </w:pPr>
            <w:r>
              <w:rPr>
                <w:color w:val="auto"/>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12,409,469.90</w:t>
            </w:r>
          </w:p>
        </w:tc>
        <w:tc>
          <w:tcPr>
            <w:tcW w:w="2113" w:type="dxa"/>
            <w:shd w:val="clear" w:color="auto" w:fill="auto"/>
          </w:tcPr>
          <w:p>
            <w:pPr>
              <w:jc w:val="right"/>
              <w:rPr>
                <w:rFonts w:ascii="宋体"/>
                <w:color w:val="auto"/>
                <w:szCs w:val="21"/>
              </w:rPr>
            </w:pPr>
            <w:r>
              <w:rPr>
                <w:color w:val="auto"/>
              </w:rPr>
              <w:t>33.57</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贵阳农商银行股份有限公司</w:t>
      </w:r>
    </w:p>
    <w:p>
      <w:pPr>
        <w:spacing w:line="360" w:lineRule="auto"/>
        <w:jc w:val="right"/>
        <w:rPr>
          <w:rFonts w:ascii="宋体" w:hAnsi="宋体"/>
          <w:color w:val="auto"/>
          <w:szCs w:val="21"/>
        </w:rPr>
      </w:pPr>
      <w:bookmarkStart w:id="9" w:name="OLE_LINK10"/>
      <w:bookmarkStart w:id="10" w:name="OLE_LINK11"/>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50BE8C0-EA79-4E24-AB4B-FB5E023CBB33}"/>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86E79694-FB13-4167-8C0A-E2A79DF07CDD}"/>
  </w:font>
  <w:font w:name="微软雅黑">
    <w:panose1 w:val="020B0503020204020204"/>
    <w:charset w:val="86"/>
    <w:family w:val="swiss"/>
    <w:pitch w:val="default"/>
    <w:sig w:usb0="80000287" w:usb1="2ACF3C50" w:usb2="00000016" w:usb3="00000000" w:csb0="0004001F" w:csb1="00000000"/>
    <w:embedRegular r:id="rId3" w:fontKey="{03378215-D198-4DC9-9913-43A27FF29C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uCMMynqazMA7Vy9MdP4w3GN20eE=" w:salt="HlbnPEZfYIA5oYgzf9+dk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D6882"/>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483B"/>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0A32"/>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F7F6A2C"/>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AD216-4257-4C36-A0CA-D012522B72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692</Words>
  <Characters>3945</Characters>
  <Lines>32</Lines>
  <Paragraphs>9</Paragraphs>
  <TotalTime>261</TotalTime>
  <ScaleCrop>false</ScaleCrop>
  <LinksUpToDate>false</LinksUpToDate>
  <CharactersWithSpaces>4628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2022-02-11T01:31:22Z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6C160D05879B4C3797FF5B6BC8470BA4</vt:lpwstr>
  </property>
</Properties>
</file>