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超值宝3年第7期理财产品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38,920,999.98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2020年06月03日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贵阳农村商业银行股份有限公司-超值宝3年第7期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851900159610361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-50,924.85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261,573.06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38,920,999.98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1.1987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1.1987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0.68</w:t>
            </w:r>
          </w:p>
        </w:tc>
        <w:tc>
          <w:tcPr>
            <w:tcW w:w="1843" w:type="dxa"/>
            <w:vAlign w:val="center"/>
          </w:tcPr>
          <w:p>
            <w:pPr>
              <w:jc w:val="right"/>
              <w:rPr>
                <w:rFonts w:ascii="宋体" w:hAnsi="宋体"/>
                <w:color w:val="auto"/>
              </w:rPr>
            </w:pPr>
            <w:r>
              <w:rPr>
                <w:rFonts w:ascii="宋体" w:hAnsi="宋体"/>
                <w:color w:val="auto"/>
              </w:rPr>
              <w:t>1.66</w:t>
            </w:r>
          </w:p>
        </w:tc>
        <w:tc>
          <w:tcPr>
            <w:tcW w:w="1843" w:type="dxa"/>
            <w:vAlign w:val="center"/>
          </w:tcPr>
          <w:p>
            <w:pPr>
              <w:jc w:val="right"/>
              <w:rPr>
                <w:rFonts w:ascii="宋体" w:hAnsi="宋体"/>
                <w:color w:val="auto"/>
              </w:rPr>
            </w:pPr>
            <w:r>
              <w:rPr>
                <w:rFonts w:ascii="宋体" w:hAnsi="宋体"/>
                <w:color w:val="auto"/>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19.87</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17.03</w:t>
            </w:r>
          </w:p>
        </w:tc>
        <w:tc>
          <w:tcPr>
            <w:tcW w:w="1843" w:type="dxa"/>
            <w:vAlign w:val="center"/>
          </w:tcPr>
          <w:p>
            <w:pPr>
              <w:jc w:val="right"/>
              <w:rPr>
                <w:rFonts w:ascii="宋体" w:hAnsi="宋体"/>
                <w:color w:val="auto"/>
              </w:rPr>
            </w:pPr>
            <w:r>
              <w:rPr>
                <w:rFonts w:ascii="宋体" w:hAnsi="宋体"/>
                <w:color w:val="auto"/>
              </w:rPr>
              <w:t>17.03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0793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0793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0.68%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39,398,258.01</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39,398,258.01</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136.99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39,398,258.01</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39,398,395.00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32,065,173.09</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32,065,173.09</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6,991,509.86</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369,557.37</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1,906.70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39,428,147.02</w:t>
            </w:r>
          </w:p>
        </w:tc>
        <w:tc>
          <w:tcPr>
            <w:tcW w:w="2127" w:type="dxa"/>
            <w:shd w:val="clear" w:color="auto" w:fill="auto"/>
          </w:tcPr>
          <w:p>
            <w:pPr>
              <w:jc w:val="right"/>
              <w:rPr>
                <w:rFonts w:ascii="宋体" w:hAnsi="宋体"/>
                <w:color w:val="auto"/>
              </w:rPr>
            </w:pPr>
            <w:r>
              <w:rPr>
                <w:rFonts w:hint="eastAsia" w:ascii="宋体" w:hAnsi="宋体"/>
                <w:color w:val="auto"/>
              </w:rPr>
              <w:t>100.08</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6,991,509.86</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2,216,385.23</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1,570,356.05</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1,208,821.88</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1,117,662.18</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1,111,009.54</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1,021,174.18</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1,018,154.63</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985,773.28</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943,742.63</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18,184,589.47</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EY3RF4p/snLi2fdc2F7i489J5kI=" w:salt="Tai9IcrjQcXAmQ0947XK7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1CB1C63"/>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2023-01-17T06:19:11Z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