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bookmarkStart w:id="11" w:name="_GoBack"/>
      <w:bookmarkEnd w:id="11"/>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超值宝3年第8期理财产品</w:t>
      </w:r>
    </w:p>
    <w:p>
      <w:pPr>
        <w:spacing w:before="156" w:beforeLines="50" w:after="156"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2021年年度</w:t>
      </w:r>
      <w:r>
        <w:rPr>
          <w:rFonts w:hint="eastAsia" w:ascii="方正小标宋简体" w:hAnsi="宋体" w:eastAsia="方正小标宋简体"/>
          <w:color w:val="000000"/>
          <w:sz w:val="44"/>
          <w:szCs w:val="32"/>
          <w:shd w:val="clear" w:color="auto" w:fill="FFFFFF"/>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2021年12月31日</w:t>
      </w:r>
      <w:bookmarkStart w:id="0" w:name="OLE_LINK1"/>
      <w:bookmarkEnd w:id="0"/>
      <w:bookmarkStart w:id="1" w:name="OLE_LINK2"/>
      <w:bookmarkEnd w:id="1"/>
      <w:bookmarkStart w:id="2" w:name="OLE_LINK3"/>
      <w:bookmarkEnd w:id="2"/>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产品托管人：</w:t>
      </w:r>
      <w:r>
        <w:rPr>
          <w:rFonts w:hint="eastAsia" w:ascii="宋体" w:hAnsi="宋体"/>
          <w:b/>
          <w:color w:val="FF0000"/>
          <w:sz w:val="32"/>
          <w:szCs w:val="32"/>
          <w:shd w:val="clear" w:color="auto" w:fill="FFFFFF"/>
        </w:rPr>
        <w:t>招商银行股份有限公司贵阳分行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156" w:beforeLines="50" w:after="156"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156" w:beforeLines="50" w:after="156" w:afterLines="50" w:line="600" w:lineRule="exact"/>
        <w:ind w:firstLine="420" w:firstLineChars="200"/>
        <w:rPr>
          <w:rFonts w:ascii="宋体" w:hAnsi="宋体"/>
          <w:b/>
          <w:color w:val="000000"/>
          <w:sz w:val="32"/>
          <w:szCs w:val="32"/>
          <w:shd w:val="clear" w:color="auto" w:fill="FFFFFF"/>
        </w:rPr>
      </w:pPr>
      <w:r>
        <w:t>产品托管人</w:t>
      </w:r>
      <w:r>
        <w:rPr>
          <w:rFonts w:hint="eastAsia"/>
          <w:color w:val="FF0000"/>
        </w:rPr>
        <w:t>招商银行股份有限公司贵阳分行</w:t>
      </w:r>
      <w:r>
        <w:rPr>
          <w:rFonts w:hint="eastAsia"/>
        </w:rPr>
        <w:t>，</w:t>
      </w:r>
      <w:r>
        <w:t>已复核了本报告中的财务指标、净值表现和投资组合报告等内容</w:t>
      </w:r>
      <w:r>
        <w:rPr>
          <w:rFonts w:hint="eastAsia"/>
        </w:rPr>
        <w:t>，</w:t>
      </w:r>
      <w:r>
        <w:t>保证复核内容不存在虚假记载、误导性陈述或者重大遗漏</w:t>
      </w:r>
      <w:r>
        <w:rPr>
          <w:rFonts w:hint="eastAsia"/>
        </w:rPr>
        <w:t>。</w:t>
      </w:r>
      <w:r>
        <w:t>本报告中财务资料未经审计</w:t>
      </w:r>
      <w:r>
        <w:rPr>
          <w:rFonts w:hint="eastAsia"/>
        </w:rPr>
        <w:t>。</w:t>
      </w:r>
      <w:r>
        <w:t>本报告期自2021年01月12日</w:t>
      </w:r>
      <w:bookmarkStart w:id="3" w:name="OLE_LINK5"/>
      <w:bookmarkEnd w:id="3"/>
      <w:bookmarkStart w:id="4" w:name="OLE_LINK6"/>
      <w:bookmarkEnd w:id="4"/>
      <w:r>
        <w:t>起至2021年12月31日止。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Theme="minorEastAsia" w:hAnsiTheme="minorEastAsia" w:eastAsiaTheme="minorEastAsia"/>
          <w:b/>
          <w:sz w:val="24"/>
          <w:szCs w:val="24"/>
          <w:shd w:val="clear" w:color="auto" w:fill="FFFFFF"/>
        </w:rPr>
      </w:pPr>
      <w:bookmarkStart w:id="5" w:name="_Toc194311890"/>
      <w:bookmarkStart w:id="6" w:name="_Toc528772556"/>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超值宝3年第8期理财产品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C1188320000133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4,470,000.00份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4,727,170.63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本产品收取固定销售费</w:t>
            </w:r>
            <w:r>
              <w:rPr>
                <w:rFonts w:ascii="宋体" w:hAnsi="宋体"/>
                <w:color w:val="FF0000"/>
                <w:szCs w:val="21"/>
                <w:shd w:val="clear" w:color="auto" w:fill="FFFFFF"/>
              </w:rPr>
              <w:t>0.20000</w:t>
            </w:r>
            <w:r>
              <w:rPr>
                <w:rFonts w:hint="eastAsia" w:ascii="宋体" w:hAnsi="宋体"/>
                <w:color w:val="FF0000"/>
                <w:szCs w:val="21"/>
                <w:shd w:val="clear" w:color="auto" w:fill="FFFFFF"/>
              </w:rPr>
              <w:t>%/年</w:t>
            </w:r>
            <w:r>
              <w:rPr>
                <w:rFonts w:hint="eastAsia" w:ascii="宋体" w:hAnsi="宋体"/>
                <w:szCs w:val="21"/>
                <w:shd w:val="clear" w:color="auto" w:fill="FFFFFF"/>
              </w:rPr>
              <w:t>，固定管理费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、固定托管费</w:t>
            </w:r>
            <w:r>
              <w:rPr>
                <w:rFonts w:ascii="宋体" w:hAnsi="宋体"/>
                <w:color w:val="FF0000"/>
                <w:szCs w:val="21"/>
                <w:shd w:val="clear" w:color="auto" w:fill="FFFFFF"/>
              </w:rPr>
              <w:t>0.02000</w:t>
            </w:r>
            <w:r>
              <w:rPr>
                <w:rFonts w:hint="eastAsia" w:ascii="宋体" w:hAnsi="宋体"/>
                <w:color w:val="FF0000"/>
                <w:szCs w:val="21"/>
                <w:shd w:val="clear" w:color="auto" w:fill="FFFFFF"/>
              </w:rPr>
              <w:t>%/年</w:t>
            </w:r>
            <w:r>
              <w:rPr>
                <w:rFonts w:hint="eastAsia" w:ascii="宋体" w:hAnsi="宋体"/>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p>
          <w:p>
            <w:pPr>
              <w:rPr>
                <w:rFonts w:ascii="宋体" w:hAnsi="宋体"/>
                <w:szCs w:val="21"/>
                <w:shd w:val="clear" w:color="auto" w:fill="FFFFFF"/>
              </w:rPr>
            </w:pPr>
            <w:r>
              <w:rPr>
                <w:rFonts w:ascii="宋体" w:hAnsi="宋体"/>
                <w:szCs w:val="21"/>
                <w:shd w:val="clear" w:color="auto" w:fill="FFFFFF"/>
              </w:rPr>
              <w:t>2021年01月12日</w:t>
            </w:r>
          </w:p>
          <w:p>
            <w:pPr>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2024年01月11日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100.49%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[5.4%-6%]/年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szCs w:val="21"/>
                <w:shd w:val="clear" w:color="auto" w:fill="FFFFFF"/>
              </w:rPr>
              <w:t>户名：贵阳农村商业银行股份有限公司-超值宝3年8期</w:t>
            </w:r>
            <w:r>
              <w:rPr>
                <w:rFonts w:ascii="宋体" w:hAnsi="宋体"/>
                <w:kern w:val="0"/>
                <w:szCs w:val="21"/>
                <w:shd w:val="clear" w:color="auto" w:fill="FFFFFF"/>
              </w:rPr>
              <w:t xml:space="preserve"> </w:t>
            </w:r>
          </w:p>
          <w:p>
            <w:pPr>
              <w:rPr>
                <w:rFonts w:ascii="宋体" w:hAnsi="宋体"/>
                <w:szCs w:val="21"/>
                <w:shd w:val="clear" w:color="auto" w:fill="FFFFFF"/>
              </w:rPr>
            </w:pPr>
            <w:r>
              <w:rPr>
                <w:rFonts w:hint="eastAsia" w:ascii="宋体" w:hAnsi="宋体"/>
                <w:color w:val="FF0000"/>
                <w:szCs w:val="21"/>
                <w:shd w:val="clear" w:color="auto" w:fill="FFFFFF"/>
              </w:rPr>
              <w:t>账号：</w:t>
            </w:r>
            <w:r>
              <w:rPr>
                <w:rFonts w:ascii="宋体" w:hAnsi="宋体"/>
                <w:color w:val="FF0000"/>
                <w:szCs w:val="21"/>
                <w:shd w:val="clear" w:color="auto" w:fill="FFFFFF"/>
              </w:rPr>
              <w:t>851900159610110</w:t>
            </w:r>
          </w:p>
          <w:p>
            <w:pPr>
              <w:rPr>
                <w:rFonts w:ascii="宋体" w:hAnsi="宋体"/>
                <w:szCs w:val="21"/>
                <w:shd w:val="clear" w:color="auto" w:fill="FFFFFF"/>
              </w:rPr>
            </w:pPr>
            <w:r>
              <w:rPr>
                <w:rFonts w:hint="eastAsia" w:ascii="宋体" w:hAnsi="宋体"/>
                <w:color w:val="FF0000"/>
                <w:szCs w:val="21"/>
                <w:shd w:val="clear" w:color="auto" w:fill="FFFFFF"/>
              </w:rPr>
              <w:t>开户行：招商银行股份有限公司贵阳分行</w:t>
            </w:r>
          </w:p>
        </w:tc>
      </w:tr>
    </w:tbl>
    <w:p>
      <w:pPr>
        <w:widowControl/>
        <w:jc w:val="left"/>
        <w:rPr>
          <w:rFonts w:asciiTheme="minorEastAsia" w:hAnsiTheme="minorEastAsia" w:eastAsiaTheme="minorEastAsia"/>
          <w:b/>
          <w:sz w:val="24"/>
          <w:szCs w:val="24"/>
        </w:rPr>
      </w:pPr>
    </w:p>
    <w:p>
      <w:pPr>
        <w:spacing w:before="156" w:beforeLines="50" w:after="156"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2021年01月12日</w:t>
            </w:r>
            <w:r>
              <w:rPr>
                <w:rFonts w:hint="eastAsia" w:ascii="宋体" w:hAnsi="宋体"/>
                <w:szCs w:val="21"/>
                <w:shd w:val="clear" w:color="auto" w:fill="FFFFFF"/>
              </w:rPr>
              <w:t>-</w:t>
            </w:r>
            <w:r>
              <w:rPr>
                <w:rFonts w:ascii="宋体" w:hAnsi="宋体"/>
                <w:szCs w:val="21"/>
                <w:shd w:val="clear" w:color="auto" w:fill="FFFFFF"/>
              </w:rPr>
              <w:t>2021年12月31日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-23,066.21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257,170.63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4,727,170.63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1.0575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1.0575</w:t>
            </w:r>
          </w:p>
        </w:tc>
      </w:tr>
    </w:tbl>
    <w:p>
      <w:pPr>
        <w:spacing w:before="156" w:beforeLines="50" w:line="360" w:lineRule="exact"/>
      </w:pPr>
      <w:r>
        <w:rPr>
          <w:rFonts w:hint="eastAsia"/>
        </w:rPr>
        <w:t>注：</w:t>
      </w:r>
      <w:r>
        <w:t>1</w:t>
      </w:r>
      <w:r>
        <w:rPr>
          <w:rFonts w:hint="eastAsia"/>
        </w:rPr>
        <w:t>、本期收益为本期已实现收益加上本期公允价值变动收益；</w:t>
      </w:r>
    </w:p>
    <w:p>
      <w:pPr>
        <w:spacing w:before="156"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156" w:beforeLines="50" w:line="360" w:lineRule="exact"/>
        <w:ind w:firstLine="420" w:firstLineChars="200"/>
      </w:pPr>
      <w:r>
        <w:t>3</w:t>
      </w:r>
      <w:r>
        <w:rPr>
          <w:rFonts w:hint="eastAsia"/>
        </w:rPr>
        <w:t>、期末即最后一个自然日；</w:t>
      </w:r>
    </w:p>
    <w:p>
      <w:pPr>
        <w:spacing w:before="156" w:beforeLines="50" w:line="360" w:lineRule="exact"/>
        <w:rPr>
          <w:color w:val="000000"/>
        </w:rPr>
      </w:pPr>
      <w:r>
        <w:tab/>
      </w:r>
      <w:r>
        <w:t>4</w:t>
      </w:r>
      <w:r>
        <w:rPr>
          <w:rFonts w:hint="eastAsia"/>
        </w:rPr>
        <w:t>、</w:t>
      </w:r>
      <w:r>
        <w:rPr>
          <w:rFonts w:hint="eastAsia"/>
          <w:color w:val="000000"/>
        </w:rPr>
        <w:t>本报告期内，本理财计划未进行分红。</w:t>
      </w:r>
    </w:p>
    <w:p>
      <w:pPr>
        <w:spacing w:before="156" w:beforeLines="50" w:line="360" w:lineRule="exact"/>
        <w:rPr>
          <w:color w:val="000000"/>
        </w:rPr>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pPr>
      <w:r>
        <w:t>3.2.1</w:t>
      </w:r>
      <w:r>
        <w:rPr>
          <w:rFonts w:hint="eastAsia"/>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rPr>
            </w:pPr>
            <w:r>
              <w:rPr>
                <w:rFonts w:hint="eastAsia"/>
                <w:b/>
              </w:rPr>
              <w:t>阶段</w:t>
            </w:r>
          </w:p>
        </w:tc>
        <w:tc>
          <w:tcPr>
            <w:tcW w:w="1843" w:type="dxa"/>
            <w:shd w:val="clear" w:color="auto" w:fill="D9D9D9"/>
            <w:vAlign w:val="center"/>
          </w:tcPr>
          <w:p>
            <w:pPr>
              <w:jc w:val="center"/>
              <w:rPr>
                <w:rFonts w:ascii="宋体" w:hAnsi="宋体"/>
                <w:b/>
              </w:rPr>
            </w:pPr>
            <w:r>
              <w:rPr>
                <w:rFonts w:hint="eastAsia"/>
                <w:b/>
              </w:rPr>
              <w:t>净值增长率（%）</w:t>
            </w:r>
          </w:p>
        </w:tc>
        <w:tc>
          <w:tcPr>
            <w:tcW w:w="1843"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增长率-低（%）</w:t>
            </w:r>
          </w:p>
        </w:tc>
        <w:tc>
          <w:tcPr>
            <w:tcW w:w="1843" w:type="dxa"/>
            <w:shd w:val="clear" w:color="auto" w:fill="D9D9D9"/>
          </w:tcPr>
          <w:p>
            <w:pPr>
              <w:jc w:val="right"/>
              <w:rPr>
                <w:b/>
              </w:rPr>
            </w:pPr>
            <w:r>
              <w:rPr>
                <w:rFonts w:hint="eastAsia"/>
                <w:b/>
              </w:rPr>
              <w:t>业绩比较</w:t>
            </w:r>
            <w:r>
              <w:rPr>
                <w:b/>
              </w:rPr>
              <w:t>基准</w:t>
            </w:r>
            <w:r>
              <w:rPr>
                <w:rFonts w:hint="eastAsia"/>
                <w:b/>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当期（</w:t>
            </w:r>
            <w:r>
              <w:rPr>
                <w:rFonts w:ascii="宋体" w:hAnsi="宋体"/>
              </w:rPr>
              <w:t>2021年01月12日</w:t>
            </w:r>
            <w:r>
              <w:rPr>
                <w:rFonts w:hint="eastAsia" w:ascii="宋体" w:hAnsi="宋体"/>
              </w:rPr>
              <w:t>至</w:t>
            </w:r>
            <w:r>
              <w:rPr>
                <w:rFonts w:ascii="宋体" w:hAnsi="宋体"/>
              </w:rPr>
              <w:t>2021年12月31日</w:t>
            </w:r>
            <w:r>
              <w:rPr>
                <w:rFonts w:hint="eastAsia" w:ascii="宋体" w:hAnsi="宋体"/>
              </w:rPr>
              <w:t>）</w:t>
            </w:r>
          </w:p>
        </w:tc>
        <w:tc>
          <w:tcPr>
            <w:tcW w:w="1843" w:type="dxa"/>
            <w:vAlign w:val="center"/>
          </w:tcPr>
          <w:p>
            <w:pPr>
              <w:spacing w:line="300" w:lineRule="auto"/>
              <w:jc w:val="right"/>
              <w:rPr>
                <w:rFonts w:ascii="微软雅黑" w:hAnsi="微软雅黑" w:eastAsia="微软雅黑" w:cs="微软雅黑"/>
              </w:rPr>
            </w:pPr>
            <w:r>
              <w:rPr>
                <w:rFonts w:ascii="宋体" w:hAnsi="宋体"/>
              </w:rPr>
              <w:t>5.75</w:t>
            </w:r>
          </w:p>
        </w:tc>
        <w:tc>
          <w:tcPr>
            <w:tcW w:w="1843" w:type="dxa"/>
            <w:vAlign w:val="center"/>
          </w:tcPr>
          <w:p>
            <w:pPr>
              <w:jc w:val="right"/>
              <w:rPr>
                <w:rFonts w:ascii="宋体" w:hAnsi="宋体"/>
                <w:color w:val="FF0000"/>
              </w:rPr>
            </w:pPr>
            <w:r>
              <w:rPr>
                <w:rFonts w:hint="eastAsia" w:ascii="宋体" w:hAnsi="宋体"/>
              </w:rPr>
              <w:t>5</w:t>
            </w:r>
            <w:r>
              <w:rPr>
                <w:rFonts w:ascii="宋体" w:hAnsi="宋体"/>
              </w:rPr>
              <w:t>.24</w:t>
            </w:r>
          </w:p>
        </w:tc>
        <w:tc>
          <w:tcPr>
            <w:tcW w:w="1843" w:type="dxa"/>
            <w:vAlign w:val="center"/>
          </w:tcPr>
          <w:p>
            <w:pPr>
              <w:jc w:val="right"/>
              <w:rPr>
                <w:rFonts w:ascii="宋体" w:hAnsi="宋体"/>
                <w:color w:val="FF0000"/>
              </w:rPr>
            </w:pPr>
            <w:r>
              <w:rPr>
                <w:rFonts w:hint="eastAsia" w:ascii="宋体" w:hAnsi="宋体"/>
              </w:rPr>
              <w:t>5</w:t>
            </w:r>
            <w:r>
              <w:rPr>
                <w:rFonts w:ascii="宋体" w:hAnsi="宋体"/>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自产品成立日至今</w:t>
            </w:r>
          </w:p>
        </w:tc>
        <w:tc>
          <w:tcPr>
            <w:tcW w:w="1843" w:type="dxa"/>
            <w:vAlign w:val="center"/>
          </w:tcPr>
          <w:p>
            <w:pPr>
              <w:jc w:val="right"/>
              <w:rPr>
                <w:rFonts w:ascii="宋体" w:hAnsi="宋体"/>
              </w:rPr>
            </w:pPr>
            <w:r>
              <w:rPr>
                <w:rFonts w:ascii="宋体" w:hAnsi="宋体"/>
              </w:rPr>
              <w:t>5.75</w:t>
            </w:r>
            <w:bookmarkStart w:id="7" w:name="OLE_LINK7"/>
            <w:bookmarkEnd w:id="7"/>
            <w:bookmarkStart w:id="8" w:name="OLE_LINK4"/>
            <w:bookmarkEnd w:id="8"/>
          </w:p>
        </w:tc>
        <w:tc>
          <w:tcPr>
            <w:tcW w:w="1843" w:type="dxa"/>
            <w:vAlign w:val="center"/>
          </w:tcPr>
          <w:p>
            <w:pPr>
              <w:jc w:val="right"/>
              <w:rPr>
                <w:rFonts w:ascii="宋体" w:hAnsi="宋体"/>
                <w:color w:val="FF0000"/>
              </w:rPr>
            </w:pPr>
            <w:r>
              <w:rPr>
                <w:rFonts w:hint="eastAsia" w:ascii="宋体" w:hAnsi="宋体"/>
              </w:rPr>
              <w:t>5</w:t>
            </w:r>
            <w:r>
              <w:rPr>
                <w:rFonts w:ascii="宋体" w:hAnsi="宋体"/>
              </w:rPr>
              <w:t>.24</w:t>
            </w:r>
          </w:p>
        </w:tc>
        <w:tc>
          <w:tcPr>
            <w:tcW w:w="1843" w:type="dxa"/>
            <w:vAlign w:val="center"/>
          </w:tcPr>
          <w:p>
            <w:pPr>
              <w:jc w:val="right"/>
              <w:rPr>
                <w:rFonts w:ascii="宋体" w:hAnsi="宋体"/>
                <w:color w:val="FF0000"/>
              </w:rPr>
            </w:pPr>
            <w:r>
              <w:rPr>
                <w:rFonts w:hint="eastAsia" w:ascii="宋体" w:hAnsi="宋体"/>
              </w:rPr>
              <w:t>5</w:t>
            </w:r>
            <w:r>
              <w:rPr>
                <w:rFonts w:ascii="宋体" w:hAnsi="宋体"/>
              </w:rPr>
              <w:t>.82</w:t>
            </w:r>
          </w:p>
        </w:tc>
      </w:tr>
    </w:tbl>
    <w:p>
      <w:pPr>
        <w:spacing w:before="156" w:beforeLines="50" w:line="360" w:lineRule="exact"/>
      </w:pPr>
    </w:p>
    <w:p>
      <w:pPr>
        <w:spacing w:before="156" w:beforeLines="50" w:line="360" w:lineRule="exact"/>
      </w:pPr>
      <w:r>
        <w:t>3.2.2</w:t>
      </w:r>
      <w:r>
        <w:rPr>
          <w:rFonts w:hint="eastAsia"/>
        </w:rPr>
        <w:t>产品累计份额净值增长率与同期业绩比较基准收益率变动比较走势图</w:t>
      </w:r>
    </w:p>
    <w:p>
      <w:pPr>
        <w:spacing w:before="156" w:beforeLines="50" w:after="156" w:afterLines="50" w:line="360" w:lineRule="auto"/>
        <w:jc w:val="center"/>
      </w:pPr>
      <w:r>
        <w:drawing>
          <wp:inline distT="0" distB="0" distL="0" distR="0">
            <wp:extent cx="4584700" cy="2755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584700" cy="2755900"/>
                    </a:xfrm>
                    <a:prstGeom prst="rect">
                      <a:avLst/>
                    </a:prstGeom>
                    <a:noFill/>
                  </pic:spPr>
                </pic:pic>
              </a:graphicData>
            </a:graphic>
          </wp:inline>
        </w:drawing>
      </w: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156" w:beforeLines="50" w:line="360" w:lineRule="exact"/>
        <w:rPr>
          <w:b/>
          <w:color w:val="000000"/>
        </w:rPr>
      </w:pPr>
      <w:r>
        <w:rPr>
          <w:b/>
          <w:color w:val="000000"/>
        </w:rPr>
        <w:t xml:space="preserve">4.1 </w:t>
      </w:r>
      <w:r>
        <w:rPr>
          <w:rFonts w:hint="eastAsia"/>
          <w:b/>
          <w:color w:val="000000"/>
        </w:rPr>
        <w:t>报告期内产品投资策略和运作分析</w:t>
      </w:r>
    </w:p>
    <w:p>
      <w:pPr>
        <w:spacing w:before="156" w:beforeLines="50" w:line="360" w:lineRule="exact"/>
        <w:ind w:firstLine="420" w:firstLineChars="200"/>
        <w:rPr>
          <w:rFonts w:ascii="宋体" w:hAnsi="宋体"/>
          <w:color w:val="FF0000"/>
          <w:szCs w:val="21"/>
        </w:rPr>
      </w:pPr>
      <w:r>
        <w:rPr>
          <w:rFonts w:hint="eastAsia" w:ascii="宋体" w:hAnsi="宋体"/>
          <w:color w:val="FF0000"/>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pPr>
    </w:p>
    <w:p>
      <w:pPr>
        <w:spacing w:before="156" w:beforeLines="50" w:line="360" w:lineRule="exact"/>
        <w:rPr>
          <w:b/>
          <w:color w:val="000000"/>
        </w:rPr>
      </w:pPr>
      <w:r>
        <w:rPr>
          <w:b/>
          <w:color w:val="000000"/>
        </w:rPr>
        <w:t xml:space="preserve">4.2 </w:t>
      </w:r>
      <w:r>
        <w:rPr>
          <w:rFonts w:hint="eastAsia"/>
          <w:b/>
          <w:color w:val="000000"/>
        </w:rPr>
        <w:t>报告期内产品的业绩表现</w:t>
      </w:r>
    </w:p>
    <w:p>
      <w:pPr>
        <w:spacing w:before="156" w:beforeLines="50" w:line="360" w:lineRule="exact"/>
        <w:ind w:firstLine="420" w:firstLineChars="200"/>
        <w:rPr>
          <w:rFonts w:ascii="宋体" w:hAnsi="宋体"/>
          <w:color w:val="000000"/>
          <w:szCs w:val="21"/>
        </w:rPr>
      </w:pPr>
      <w:r>
        <w:rPr>
          <w:rFonts w:ascii="宋体" w:hAnsi="宋体"/>
          <w:color w:val="000000"/>
          <w:szCs w:val="21"/>
        </w:rPr>
        <w:t>在报告期内</w:t>
      </w:r>
      <w:r>
        <w:rPr>
          <w:rFonts w:hint="eastAsia" w:ascii="宋体" w:hAnsi="宋体"/>
          <w:color w:val="000000"/>
          <w:szCs w:val="21"/>
        </w:rPr>
        <w:t>，</w:t>
      </w:r>
      <w:r>
        <w:rPr>
          <w:rFonts w:ascii="宋体" w:hAnsi="宋体"/>
          <w:color w:val="000000"/>
          <w:szCs w:val="21"/>
        </w:rPr>
        <w:t>产品份额净值增长率为</w:t>
      </w:r>
      <w:r>
        <w:rPr>
          <w:rFonts w:ascii="宋体" w:hAnsi="宋体"/>
          <w:color w:val="FF0000"/>
          <w:szCs w:val="21"/>
        </w:rPr>
        <w:t>5.75%</w:t>
      </w:r>
      <w:r>
        <w:rPr>
          <w:rFonts w:hint="eastAsia" w:ascii="宋体" w:hAnsi="宋体"/>
          <w:color w:val="000000"/>
          <w:szCs w:val="21"/>
        </w:rPr>
        <w:t>。</w:t>
      </w:r>
      <w:r>
        <w:rPr>
          <w:rFonts w:ascii="宋体" w:hAnsi="宋体"/>
          <w:color w:val="000000"/>
          <w:szCs w:val="21"/>
        </w:rPr>
        <w:t>报告期内</w:t>
      </w:r>
      <w:r>
        <w:rPr>
          <w:rFonts w:hint="eastAsia" w:ascii="宋体" w:hAnsi="宋体"/>
          <w:color w:val="000000"/>
          <w:szCs w:val="21"/>
        </w:rPr>
        <w:t>，</w:t>
      </w:r>
      <w:r>
        <w:rPr>
          <w:rFonts w:ascii="宋体" w:hAnsi="宋体"/>
          <w:color w:val="000000"/>
          <w:szCs w:val="21"/>
        </w:rPr>
        <w:t>本期产品配置债券价格</w:t>
      </w:r>
      <w:r>
        <w:rPr>
          <w:rFonts w:ascii="宋体" w:hAnsi="宋体"/>
          <w:color w:val="FF0000"/>
          <w:szCs w:val="21"/>
        </w:rPr>
        <w:t>整体波动不大</w:t>
      </w:r>
      <w:r>
        <w:rPr>
          <w:rFonts w:hint="eastAsia" w:ascii="宋体" w:hAnsi="宋体"/>
          <w:color w:val="000000"/>
          <w:szCs w:val="21"/>
        </w:rPr>
        <w:t>，</w:t>
      </w:r>
      <w:r>
        <w:rPr>
          <w:rFonts w:ascii="宋体" w:hAnsi="宋体"/>
          <w:color w:val="000000"/>
          <w:szCs w:val="21"/>
        </w:rPr>
        <w:t>在可控范围内</w:t>
      </w:r>
      <w:r>
        <w:rPr>
          <w:rFonts w:hint="eastAsia" w:ascii="宋体" w:hAnsi="宋体"/>
          <w:color w:val="000000"/>
          <w:szCs w:val="21"/>
        </w:rPr>
        <w:t>。</w:t>
      </w:r>
    </w:p>
    <w:p>
      <w:pPr>
        <w:spacing w:before="156" w:beforeLines="50" w:line="360" w:lineRule="exact"/>
      </w:pPr>
    </w:p>
    <w:p>
      <w:pPr>
        <w:spacing w:before="156" w:beforeLines="50" w:line="360" w:lineRule="exact"/>
        <w:rPr>
          <w:b/>
          <w:color w:val="000000"/>
        </w:rPr>
      </w:pPr>
      <w:r>
        <w:rPr>
          <w:b/>
          <w:color w:val="000000"/>
        </w:rPr>
        <w:t>4.3</w:t>
      </w:r>
      <w:r>
        <w:rPr>
          <w:rFonts w:hint="eastAsia"/>
          <w:b/>
          <w:color w:val="000000"/>
        </w:rPr>
        <w:t>报告期内产品主要投资风险</w:t>
      </w:r>
    </w:p>
    <w:p>
      <w:pPr>
        <w:spacing w:before="156" w:beforeLines="50" w:after="156" w:afterLines="50" w:line="360" w:lineRule="auto"/>
        <w:jc w:val="left"/>
        <w:rPr>
          <w:rFonts w:ascii="宋体" w:hAnsi="宋体"/>
          <w:color w:val="FF0000"/>
          <w:szCs w:val="21"/>
        </w:rPr>
      </w:pPr>
      <w:r>
        <w:rPr>
          <w:rFonts w:hint="eastAsia" w:ascii="宋体" w:hAnsi="宋体"/>
          <w:color w:val="000000"/>
          <w:szCs w:val="21"/>
        </w:rPr>
        <w:tab/>
      </w:r>
      <w:r>
        <w:rPr>
          <w:rFonts w:hint="eastAsia" w:ascii="宋体" w:hAnsi="宋体"/>
          <w:color w:val="FF0000"/>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FF0000"/>
          <w:szCs w:val="21"/>
        </w:rPr>
      </w:pP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156" w:beforeLines="50" w:after="156"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方正富邦稳健2号集合资产管理计划</w:t>
            </w:r>
          </w:p>
        </w:tc>
        <w:tc>
          <w:tcPr>
            <w:tcW w:w="2066" w:type="dxa"/>
            <w:shd w:val="clear" w:color="auto" w:fill="auto"/>
          </w:tcPr>
          <w:p>
            <w:pPr>
              <w:jc w:val="right"/>
              <w:rPr>
                <w:rFonts w:ascii="宋体"/>
                <w:szCs w:val="21"/>
              </w:rPr>
            </w:pPr>
            <w:r>
              <w:t>4,750,236.84</w:t>
            </w:r>
          </w:p>
        </w:tc>
        <w:tc>
          <w:tcPr>
            <w:tcW w:w="2069" w:type="dxa"/>
            <w:shd w:val="clear" w:color="auto" w:fill="auto"/>
          </w:tcPr>
          <w:p>
            <w:pPr>
              <w:jc w:val="right"/>
              <w:rPr>
                <w:rFonts w:ascii="宋体"/>
                <w:szCs w:val="21"/>
              </w:rPr>
            </w:pPr>
            <w: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4,750,236.84</w:t>
            </w:r>
          </w:p>
        </w:tc>
        <w:tc>
          <w:tcPr>
            <w:tcW w:w="2069" w:type="dxa"/>
            <w:shd w:val="clear" w:color="auto" w:fill="auto"/>
          </w:tcPr>
          <w:p>
            <w:pPr>
              <w:jc w:val="right"/>
              <w:rPr>
                <w:rFonts w:ascii="宋体"/>
                <w:szCs w:val="21"/>
              </w:rPr>
            </w:pPr>
            <w:r>
              <w:t>100.00</w:t>
            </w:r>
          </w:p>
        </w:tc>
      </w:tr>
    </w:tbl>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rPr>
          <w:b/>
        </w:rPr>
      </w:pPr>
    </w:p>
    <w:p>
      <w:pPr>
        <w:spacing w:before="156" w:beforeLines="50" w:after="156" w:afterLines="50" w:line="360" w:lineRule="auto"/>
        <w:rPr>
          <w:b/>
        </w:rPr>
      </w:pPr>
      <w:r>
        <w:rPr>
          <w:b/>
        </w:rPr>
        <w:t>5.</w:t>
      </w:r>
      <w:r>
        <w:rPr>
          <w:rFonts w:hint="eastAsia"/>
          <w:b/>
        </w:rPr>
        <w:t>2期末理财产品资产组合情况</w:t>
      </w:r>
    </w:p>
    <w:p>
      <w:pPr>
        <w:spacing w:before="156" w:beforeLines="50" w:after="156"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43.58</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4,750,236.84</w:t>
            </w:r>
          </w:p>
        </w:tc>
        <w:tc>
          <w:tcPr>
            <w:tcW w:w="2127" w:type="dxa"/>
            <w:shd w:val="clear" w:color="auto" w:fill="auto"/>
            <w:vAlign w:val="center"/>
          </w:tcPr>
          <w:p>
            <w:pPr>
              <w:jc w:val="right"/>
              <w:rPr>
                <w:rFonts w:ascii="宋体" w:hAnsi="宋体"/>
              </w:rPr>
            </w:pPr>
            <w:r>
              <w:rPr>
                <w:rFonts w:hint="eastAsia" w:ascii="宋体" w:hAnsi="宋体"/>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4,750,280.42</w:t>
            </w:r>
          </w:p>
        </w:tc>
        <w:tc>
          <w:tcPr>
            <w:tcW w:w="2127" w:type="dxa"/>
            <w:shd w:val="clear" w:color="auto" w:fill="auto"/>
          </w:tcPr>
          <w:p>
            <w:pPr>
              <w:jc w:val="right"/>
              <w:rPr>
                <w:rFonts w:ascii="宋体" w:hAnsi="宋体"/>
              </w:rPr>
            </w:pPr>
            <w:r>
              <w:rPr>
                <w:rFonts w:hint="eastAsia" w:ascii="宋体" w:hAnsi="宋体"/>
              </w:rPr>
              <w:t>100.00</w:t>
            </w:r>
          </w:p>
        </w:tc>
      </w:tr>
    </w:tbl>
    <w:p>
      <w:pPr>
        <w:spacing w:before="156" w:beforeLines="50" w:after="156" w:afterLines="50" w:line="360" w:lineRule="auto"/>
      </w:pPr>
    </w:p>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4,184,806.62</w:t>
            </w:r>
          </w:p>
        </w:tc>
        <w:tc>
          <w:tcPr>
            <w:tcW w:w="2127" w:type="dxa"/>
            <w:shd w:val="clear" w:color="auto" w:fill="auto"/>
            <w:vAlign w:val="center"/>
          </w:tcPr>
          <w:p>
            <w:pPr>
              <w:jc w:val="right"/>
              <w:rPr>
                <w:rFonts w:ascii="宋体" w:hAnsi="宋体"/>
              </w:rPr>
            </w:pPr>
            <w:r>
              <w:rPr>
                <w:rFonts w:hint="eastAsia" w:ascii="宋体" w:hAnsi="宋体"/>
              </w:rPr>
              <w:t>88.10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4,160,909.84</w:t>
            </w:r>
          </w:p>
        </w:tc>
        <w:tc>
          <w:tcPr>
            <w:tcW w:w="2127" w:type="dxa"/>
            <w:shd w:val="clear" w:color="auto" w:fill="auto"/>
            <w:vAlign w:val="center"/>
          </w:tcPr>
          <w:p>
            <w:pPr>
              <w:jc w:val="right"/>
              <w:rPr>
                <w:rFonts w:ascii="宋体" w:hAnsi="宋体"/>
              </w:rPr>
            </w:pPr>
            <w:r>
              <w:rPr>
                <w:rFonts w:hint="eastAsia" w:ascii="宋体" w:hAnsi="宋体"/>
              </w:rPr>
              <w:t>87.59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23,896.78</w:t>
            </w:r>
          </w:p>
        </w:tc>
        <w:tc>
          <w:tcPr>
            <w:tcW w:w="2127" w:type="dxa"/>
            <w:shd w:val="clear" w:color="auto" w:fill="auto"/>
            <w:vAlign w:val="center"/>
          </w:tcPr>
          <w:p>
            <w:pPr>
              <w:jc w:val="right"/>
              <w:rPr>
                <w:rFonts w:ascii="宋体" w:hAnsi="宋体"/>
              </w:rPr>
            </w:pPr>
            <w:r>
              <w:rPr>
                <w:rFonts w:hint="eastAsia" w:ascii="宋体" w:hAnsi="宋体"/>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261,630.23</w:t>
            </w:r>
          </w:p>
        </w:tc>
        <w:tc>
          <w:tcPr>
            <w:tcW w:w="2127" w:type="dxa"/>
            <w:shd w:val="clear" w:color="auto" w:fill="auto"/>
            <w:vAlign w:val="center"/>
          </w:tcPr>
          <w:p>
            <w:pPr>
              <w:jc w:val="right"/>
              <w:rPr>
                <w:rFonts w:ascii="宋体" w:hAnsi="宋体"/>
              </w:rPr>
            </w:pPr>
            <w:r>
              <w:rPr>
                <w:rFonts w:hint="eastAsia" w:ascii="宋体" w:hAnsi="宋体"/>
              </w:rPr>
              <w:t>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20,515.65</w:t>
            </w:r>
          </w:p>
        </w:tc>
        <w:tc>
          <w:tcPr>
            <w:tcW w:w="2127" w:type="dxa"/>
            <w:shd w:val="clear" w:color="auto" w:fill="auto"/>
            <w:vAlign w:val="center"/>
          </w:tcPr>
          <w:p>
            <w:pPr>
              <w:jc w:val="right"/>
              <w:rPr>
                <w:rFonts w:ascii="宋体" w:hAnsi="宋体"/>
              </w:rPr>
            </w:pPr>
            <w:r>
              <w:rPr>
                <w:rFonts w:hint="eastAsia" w:ascii="宋体" w:hAnsi="宋体"/>
              </w:rPr>
              <w:t>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288,387.50</w:t>
            </w:r>
          </w:p>
        </w:tc>
        <w:tc>
          <w:tcPr>
            <w:tcW w:w="2127" w:type="dxa"/>
            <w:shd w:val="clear" w:color="auto" w:fill="auto"/>
            <w:vAlign w:val="center"/>
          </w:tcPr>
          <w:p>
            <w:pPr>
              <w:jc w:val="right"/>
              <w:rPr>
                <w:rFonts w:ascii="宋体" w:hAnsi="宋体"/>
              </w:rPr>
            </w:pPr>
            <w:r>
              <w:rPr>
                <w:rFonts w:hint="eastAsia" w:ascii="宋体" w:hAnsi="宋体"/>
              </w:rPr>
              <w:t>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4,755,340.00</w:t>
            </w:r>
          </w:p>
        </w:tc>
        <w:tc>
          <w:tcPr>
            <w:tcW w:w="2127" w:type="dxa"/>
            <w:shd w:val="clear" w:color="auto" w:fill="auto"/>
          </w:tcPr>
          <w:p>
            <w:pPr>
              <w:jc w:val="right"/>
              <w:rPr>
                <w:rFonts w:ascii="宋体" w:hAnsi="宋体"/>
              </w:rPr>
            </w:pPr>
            <w:r>
              <w:rPr>
                <w:rFonts w:hint="eastAsia" w:ascii="宋体" w:hAnsi="宋体"/>
              </w:rPr>
              <w:t>100.11</w:t>
            </w:r>
          </w:p>
        </w:tc>
      </w:tr>
    </w:tbl>
    <w:p>
      <w:pPr>
        <w:spacing w:before="156" w:beforeLines="50" w:after="156" w:afterLines="50" w:line="360" w:lineRule="auto"/>
      </w:pPr>
    </w:p>
    <w:p>
      <w:pPr>
        <w:spacing w:before="156" w:beforeLines="50" w:after="156" w:afterLines="50" w:line="360" w:lineRule="auto"/>
      </w:pPr>
      <w:r>
        <w:rPr>
          <w:rFonts w:hint="eastAsia"/>
        </w:rPr>
        <w:t>注：由于四舍五入原因，各分项占资产总值的比例之和与合计可能存在尾差。</w:t>
      </w:r>
    </w:p>
    <w:p>
      <w:pPr>
        <w:spacing w:before="156" w:beforeLines="50" w:after="156" w:afterLines="50" w:line="360" w:lineRule="auto"/>
      </w:pPr>
    </w:p>
    <w:p>
      <w:pPr>
        <w:spacing w:before="156" w:beforeLines="50" w:after="156"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20遵资01</w:t>
            </w:r>
          </w:p>
        </w:tc>
        <w:tc>
          <w:tcPr>
            <w:tcW w:w="2138" w:type="dxa"/>
            <w:shd w:val="clear" w:color="auto" w:fill="auto"/>
          </w:tcPr>
          <w:p>
            <w:pPr>
              <w:jc w:val="right"/>
              <w:rPr>
                <w:rFonts w:ascii="宋体"/>
                <w:szCs w:val="21"/>
              </w:rPr>
            </w:pPr>
            <w:r>
              <w:t>363,740.08</w:t>
            </w:r>
          </w:p>
        </w:tc>
        <w:tc>
          <w:tcPr>
            <w:tcW w:w="2113" w:type="dxa"/>
            <w:shd w:val="clear" w:color="auto" w:fill="auto"/>
          </w:tcPr>
          <w:p>
            <w:pPr>
              <w:jc w:val="right"/>
              <w:rPr>
                <w:rFonts w:ascii="宋体"/>
                <w:szCs w:val="21"/>
              </w:rPr>
            </w:pPr>
            <w:r>
              <w:t>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20凯文01</w:t>
            </w:r>
          </w:p>
        </w:tc>
        <w:tc>
          <w:tcPr>
            <w:tcW w:w="2138" w:type="dxa"/>
            <w:shd w:val="clear" w:color="auto" w:fill="auto"/>
          </w:tcPr>
          <w:p>
            <w:pPr>
              <w:jc w:val="right"/>
              <w:rPr>
                <w:rFonts w:ascii="宋体"/>
                <w:szCs w:val="21"/>
              </w:rPr>
            </w:pPr>
            <w:r>
              <w:t>200,385.09</w:t>
            </w:r>
          </w:p>
        </w:tc>
        <w:tc>
          <w:tcPr>
            <w:tcW w:w="2113" w:type="dxa"/>
            <w:shd w:val="clear" w:color="auto" w:fill="auto"/>
          </w:tcPr>
          <w:p>
            <w:pPr>
              <w:jc w:val="right"/>
              <w:rPr>
                <w:rFonts w:ascii="宋体"/>
                <w:szCs w:val="21"/>
              </w:rPr>
            </w:pPr>
            <w:r>
              <w:t>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21安工01</w:t>
            </w:r>
          </w:p>
        </w:tc>
        <w:tc>
          <w:tcPr>
            <w:tcW w:w="2138" w:type="dxa"/>
            <w:shd w:val="clear" w:color="auto" w:fill="auto"/>
          </w:tcPr>
          <w:p>
            <w:pPr>
              <w:jc w:val="right"/>
              <w:rPr>
                <w:rFonts w:ascii="宋体"/>
                <w:szCs w:val="21"/>
              </w:rPr>
            </w:pPr>
            <w:r>
              <w:t>185,238.20</w:t>
            </w:r>
          </w:p>
        </w:tc>
        <w:tc>
          <w:tcPr>
            <w:tcW w:w="2113" w:type="dxa"/>
            <w:shd w:val="clear" w:color="auto" w:fill="auto"/>
          </w:tcPr>
          <w:p>
            <w:pPr>
              <w:jc w:val="right"/>
              <w:rPr>
                <w:rFonts w:ascii="宋体"/>
                <w:szCs w:val="21"/>
              </w:rPr>
            </w:pPr>
            <w: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19贵安01</w:t>
            </w:r>
          </w:p>
        </w:tc>
        <w:tc>
          <w:tcPr>
            <w:tcW w:w="2138" w:type="dxa"/>
            <w:shd w:val="clear" w:color="auto" w:fill="auto"/>
          </w:tcPr>
          <w:p>
            <w:pPr>
              <w:jc w:val="right"/>
              <w:rPr>
                <w:rFonts w:ascii="宋体"/>
                <w:szCs w:val="21"/>
              </w:rPr>
            </w:pPr>
            <w:r>
              <w:t>165,789.13</w:t>
            </w:r>
          </w:p>
        </w:tc>
        <w:tc>
          <w:tcPr>
            <w:tcW w:w="2113" w:type="dxa"/>
            <w:shd w:val="clear" w:color="auto" w:fill="auto"/>
          </w:tcPr>
          <w:p>
            <w:pPr>
              <w:jc w:val="right"/>
              <w:rPr>
                <w:rFonts w:ascii="宋体"/>
                <w:szCs w:val="21"/>
              </w:rPr>
            </w:pPr>
            <w:r>
              <w:t>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19贵电01</w:t>
            </w:r>
          </w:p>
        </w:tc>
        <w:tc>
          <w:tcPr>
            <w:tcW w:w="2138" w:type="dxa"/>
            <w:shd w:val="clear" w:color="auto" w:fill="auto"/>
          </w:tcPr>
          <w:p>
            <w:pPr>
              <w:jc w:val="right"/>
              <w:rPr>
                <w:rFonts w:ascii="宋体"/>
                <w:szCs w:val="21"/>
              </w:rPr>
            </w:pPr>
            <w:r>
              <w:t>163,212.28</w:t>
            </w:r>
          </w:p>
        </w:tc>
        <w:tc>
          <w:tcPr>
            <w:tcW w:w="2113" w:type="dxa"/>
            <w:shd w:val="clear" w:color="auto" w:fill="auto"/>
          </w:tcPr>
          <w:p>
            <w:pPr>
              <w:jc w:val="right"/>
              <w:rPr>
                <w:rFonts w:ascii="宋体"/>
                <w:szCs w:val="21"/>
              </w:rPr>
            </w:pPr>
            <w:r>
              <w:t>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19贵安02</w:t>
            </w:r>
          </w:p>
        </w:tc>
        <w:tc>
          <w:tcPr>
            <w:tcW w:w="2138" w:type="dxa"/>
            <w:shd w:val="clear" w:color="auto" w:fill="auto"/>
          </w:tcPr>
          <w:p>
            <w:pPr>
              <w:jc w:val="right"/>
              <w:rPr>
                <w:rFonts w:ascii="宋体"/>
                <w:szCs w:val="21"/>
              </w:rPr>
            </w:pPr>
            <w:r>
              <w:t>159,912.63</w:t>
            </w:r>
          </w:p>
        </w:tc>
        <w:tc>
          <w:tcPr>
            <w:tcW w:w="2113" w:type="dxa"/>
            <w:shd w:val="clear" w:color="auto" w:fill="auto"/>
          </w:tcPr>
          <w:p>
            <w:pPr>
              <w:jc w:val="right"/>
              <w:rPr>
                <w:rFonts w:ascii="宋体"/>
                <w:szCs w:val="21"/>
              </w:rPr>
            </w:pPr>
            <w:r>
              <w:t>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21安投01</w:t>
            </w:r>
          </w:p>
        </w:tc>
        <w:tc>
          <w:tcPr>
            <w:tcW w:w="2138" w:type="dxa"/>
            <w:shd w:val="clear" w:color="auto" w:fill="auto"/>
          </w:tcPr>
          <w:p>
            <w:pPr>
              <w:jc w:val="right"/>
              <w:rPr>
                <w:rFonts w:ascii="宋体"/>
                <w:szCs w:val="21"/>
              </w:rPr>
            </w:pPr>
            <w:r>
              <w:t>145,654.20</w:t>
            </w:r>
          </w:p>
        </w:tc>
        <w:tc>
          <w:tcPr>
            <w:tcW w:w="2113" w:type="dxa"/>
            <w:shd w:val="clear" w:color="auto" w:fill="auto"/>
          </w:tcPr>
          <w:p>
            <w:pPr>
              <w:jc w:val="right"/>
              <w:rPr>
                <w:rFonts w:ascii="宋体"/>
                <w:szCs w:val="21"/>
              </w:rPr>
            </w:pPr>
            <w: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R007</w:t>
            </w:r>
          </w:p>
        </w:tc>
        <w:tc>
          <w:tcPr>
            <w:tcW w:w="2138" w:type="dxa"/>
            <w:shd w:val="clear" w:color="auto" w:fill="auto"/>
          </w:tcPr>
          <w:p>
            <w:pPr>
              <w:jc w:val="right"/>
              <w:rPr>
                <w:rFonts w:ascii="宋体"/>
                <w:szCs w:val="21"/>
              </w:rPr>
            </w:pPr>
            <w:r>
              <w:t>140,694.11</w:t>
            </w:r>
          </w:p>
        </w:tc>
        <w:tc>
          <w:tcPr>
            <w:tcW w:w="2113" w:type="dxa"/>
            <w:shd w:val="clear" w:color="auto" w:fill="auto"/>
          </w:tcPr>
          <w:p>
            <w:pPr>
              <w:jc w:val="right"/>
              <w:rPr>
                <w:rFonts w:ascii="宋体"/>
                <w:szCs w:val="21"/>
              </w:rPr>
            </w:pPr>
            <w:r>
              <w:t>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19汇川02</w:t>
            </w:r>
          </w:p>
        </w:tc>
        <w:tc>
          <w:tcPr>
            <w:tcW w:w="2138" w:type="dxa"/>
            <w:shd w:val="clear" w:color="auto" w:fill="auto"/>
          </w:tcPr>
          <w:p>
            <w:pPr>
              <w:jc w:val="right"/>
              <w:rPr>
                <w:rFonts w:ascii="宋体"/>
                <w:szCs w:val="21"/>
              </w:rPr>
            </w:pPr>
            <w:r>
              <w:t>138,996.95</w:t>
            </w:r>
          </w:p>
        </w:tc>
        <w:tc>
          <w:tcPr>
            <w:tcW w:w="2113" w:type="dxa"/>
            <w:shd w:val="clear" w:color="auto" w:fill="auto"/>
          </w:tcPr>
          <w:p>
            <w:pPr>
              <w:jc w:val="right"/>
              <w:rPr>
                <w:rFonts w:ascii="宋体"/>
                <w:szCs w:val="21"/>
              </w:rPr>
            </w:pPr>
            <w:r>
              <w:t>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20铜旅01</w:t>
            </w:r>
          </w:p>
        </w:tc>
        <w:tc>
          <w:tcPr>
            <w:tcW w:w="2138" w:type="dxa"/>
            <w:shd w:val="clear" w:color="auto" w:fill="auto"/>
          </w:tcPr>
          <w:p>
            <w:pPr>
              <w:jc w:val="right"/>
              <w:rPr>
                <w:rFonts w:ascii="宋体"/>
                <w:szCs w:val="21"/>
              </w:rPr>
            </w:pPr>
            <w:r>
              <w:t>138,835.91</w:t>
            </w:r>
          </w:p>
        </w:tc>
        <w:tc>
          <w:tcPr>
            <w:tcW w:w="2113" w:type="dxa"/>
            <w:shd w:val="clear" w:color="auto" w:fill="auto"/>
          </w:tcPr>
          <w:p>
            <w:pPr>
              <w:jc w:val="right"/>
              <w:rPr>
                <w:rFonts w:ascii="宋体"/>
                <w:szCs w:val="21"/>
              </w:rPr>
            </w:pPr>
            <w:r>
              <w:t>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1,802,458.60</w:t>
            </w:r>
          </w:p>
        </w:tc>
        <w:tc>
          <w:tcPr>
            <w:tcW w:w="2113" w:type="dxa"/>
            <w:shd w:val="clear" w:color="auto" w:fill="auto"/>
          </w:tcPr>
          <w:p>
            <w:pPr>
              <w:jc w:val="right"/>
              <w:rPr>
                <w:rFonts w:ascii="宋体"/>
                <w:szCs w:val="21"/>
              </w:rPr>
            </w:pPr>
            <w:r>
              <w:t>37.94</w:t>
            </w:r>
          </w:p>
        </w:tc>
      </w:tr>
    </w:tbl>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pPr>
    </w:p>
    <w:p>
      <w:pPr>
        <w:spacing w:before="156" w:beforeLines="50" w:after="156" w:afterLines="50" w:line="360" w:lineRule="auto"/>
        <w:rPr>
          <w:b/>
        </w:rPr>
      </w:pPr>
      <w:r>
        <w:rPr>
          <w:b/>
        </w:rPr>
        <w:t>5.3</w:t>
      </w:r>
      <w:r>
        <w:rPr>
          <w:rFonts w:hint="eastAsia"/>
          <w:b/>
        </w:rPr>
        <w:t>所投资非标准化债权类资产情况</w:t>
      </w:r>
    </w:p>
    <w:p>
      <w:pPr>
        <w:spacing w:before="156" w:beforeLines="50" w:after="156"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156" w:beforeLines="50" w:after="156" w:afterLines="50" w:line="360" w:lineRule="auto"/>
        <w:rPr>
          <w:b/>
        </w:rPr>
      </w:pPr>
    </w:p>
    <w:p>
      <w:pPr>
        <w:spacing w:before="156" w:beforeLines="50" w:after="156" w:afterLines="50" w:line="360" w:lineRule="auto"/>
        <w:rPr>
          <w:b/>
        </w:rPr>
      </w:pPr>
      <w:r>
        <w:rPr>
          <w:b/>
        </w:rPr>
        <w:t>5.4</w:t>
      </w:r>
      <w:r>
        <w:rPr>
          <w:rFonts w:hint="eastAsia"/>
          <w:b/>
        </w:rPr>
        <w:t>投资组合的流动性风险分析</w:t>
      </w:r>
    </w:p>
    <w:p>
      <w:pPr>
        <w:spacing w:before="156" w:beforeLines="50" w:after="156" w:afterLines="50" w:line="360" w:lineRule="atLeast"/>
        <w:ind w:firstLine="420" w:firstLineChars="200"/>
        <w:rPr>
          <w:rFonts w:ascii="宋体"/>
          <w:color w:val="FF0000"/>
        </w:rPr>
      </w:pPr>
      <w:r>
        <w:rPr>
          <w:rFonts w:hint="eastAsia" w:ascii="宋体"/>
          <w:color w:val="FF0000"/>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rPr>
      </w:pPr>
      <w:r>
        <w:rPr>
          <w:rFonts w:hint="eastAsia" w:ascii="宋体"/>
        </w:rPr>
        <w:t xml:space="preserve"> </w:t>
      </w: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 xml:space="preserve"> 关联交易情况说明</w:t>
      </w:r>
    </w:p>
    <w:p>
      <w:pPr>
        <w:rPr>
          <w:color w:val="FF0000"/>
        </w:rPr>
      </w:pPr>
      <w:r>
        <w:rPr>
          <w:rFonts w:hint="eastAsia" w:ascii="宋体"/>
        </w:rPr>
        <w:tab/>
      </w:r>
      <w:r>
        <w:rPr>
          <w:rFonts w:hint="eastAsia" w:ascii="宋体"/>
          <w:color w:val="FF0000"/>
        </w:rPr>
        <w:t>本报告期内，本计划未发生关联交易。</w:t>
      </w:r>
    </w:p>
    <w:p>
      <w:pPr>
        <w:spacing w:line="360" w:lineRule="auto"/>
      </w:pP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before="156" w:beforeLines="50" w:after="156"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8</w:t>
      </w:r>
      <w:r>
        <w:rPr>
          <w:rFonts w:hint="eastAsia" w:asciiTheme="minorEastAsia" w:hAnsiTheme="minorEastAsia" w:eastAsiaTheme="minorEastAsia"/>
          <w:b/>
          <w:sz w:val="24"/>
          <w:szCs w:val="24"/>
        </w:rPr>
        <w:t xml:space="preserve"> 托管人报告</w:t>
      </w:r>
    </w:p>
    <w:p>
      <w:pPr>
        <w:spacing w:line="360" w:lineRule="auto"/>
        <w:ind w:right="-107" w:rightChars="-51" w:firstLine="420" w:firstLineChars="200"/>
        <w:jc w:val="left"/>
        <w:rPr>
          <w:rFonts w:ascii="宋体" w:hAnsi="宋体"/>
          <w:szCs w:val="21"/>
        </w:rPr>
      </w:pPr>
      <w:r>
        <w:rPr>
          <w:rFonts w:hint="eastAsia" w:ascii="宋体" w:hAnsi="宋体"/>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pPr>
    </w:p>
    <w:p>
      <w:pPr>
        <w:spacing w:line="360" w:lineRule="auto"/>
      </w:pPr>
    </w:p>
    <w:p>
      <w:pPr>
        <w:spacing w:line="360" w:lineRule="auto"/>
        <w:rPr>
          <w:color w:val="FF0000"/>
        </w:rPr>
      </w:pPr>
      <w:r>
        <w:rPr>
          <w:color w:val="FF0000"/>
        </w:rPr>
        <w:t>查阅方式网站：http://www.gynsh.com咨询电话：0851-88115057</w:t>
      </w:r>
    </w:p>
    <w:p>
      <w:pPr>
        <w:spacing w:line="360" w:lineRule="auto"/>
        <w:jc w:val="right"/>
        <w:rPr>
          <w:rFonts w:ascii="宋体" w:hAnsi="宋体"/>
          <w:szCs w:val="21"/>
        </w:rPr>
      </w:pPr>
      <w:r>
        <w:rPr>
          <w:rFonts w:ascii="宋体" w:hAnsi="宋体"/>
          <w:szCs w:val="21"/>
        </w:rPr>
        <w:t>贵阳农村商业银行股份有限公司</w:t>
      </w:r>
    </w:p>
    <w:p>
      <w:pPr>
        <w:spacing w:line="360" w:lineRule="auto"/>
        <w:jc w:val="right"/>
        <w:rPr>
          <w:rFonts w:ascii="宋体" w:hAnsi="宋体"/>
          <w:szCs w:val="21"/>
        </w:rPr>
      </w:pPr>
      <w:bookmarkStart w:id="9" w:name="OLE_LINK10"/>
      <w:bookmarkStart w:id="10" w:name="OLE_LINK11"/>
      <w:r>
        <w:rPr>
          <w:rFonts w:ascii="宋体" w:hAnsi="宋体"/>
          <w:szCs w:val="21"/>
        </w:rPr>
        <w:t>2022年03月31日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altName w:val="黑体"/>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dit="readOnly" w:enforcement="1" w:cryptProviderType="rsaFull" w:cryptAlgorithmClass="hash" w:cryptAlgorithmType="typeAny" w:cryptAlgorithmSid="4" w:cryptSpinCount="0" w:hash="tBLi6u7y7K7kyp3ldA4+bG9EtKs=" w:salt="Rh7JuuxOghWMBpcFDtogN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65CDA"/>
    <w:rsid w:val="004725E7"/>
    <w:rsid w:val="00477D60"/>
    <w:rsid w:val="00483E7F"/>
    <w:rsid w:val="00494EE4"/>
    <w:rsid w:val="004A5AFB"/>
    <w:rsid w:val="004C51C7"/>
    <w:rsid w:val="004E4337"/>
    <w:rsid w:val="005006CE"/>
    <w:rsid w:val="0050305E"/>
    <w:rsid w:val="005030C6"/>
    <w:rsid w:val="00531FE9"/>
    <w:rsid w:val="00553420"/>
    <w:rsid w:val="00571FC5"/>
    <w:rsid w:val="00581537"/>
    <w:rsid w:val="00587297"/>
    <w:rsid w:val="005969B4"/>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0CFF"/>
    <w:rsid w:val="00D14180"/>
    <w:rsid w:val="00D279D1"/>
    <w:rsid w:val="00D65694"/>
    <w:rsid w:val="00D81A57"/>
    <w:rsid w:val="00D84094"/>
    <w:rsid w:val="00D946BC"/>
    <w:rsid w:val="00DA126F"/>
    <w:rsid w:val="00DA31CC"/>
    <w:rsid w:val="00DD4936"/>
    <w:rsid w:val="00DE13C5"/>
    <w:rsid w:val="00E13B74"/>
    <w:rsid w:val="00E27134"/>
    <w:rsid w:val="00E406D9"/>
    <w:rsid w:val="00E41A55"/>
    <w:rsid w:val="00E4232D"/>
    <w:rsid w:val="00E47D15"/>
    <w:rsid w:val="00E54AC0"/>
    <w:rsid w:val="00E64F2B"/>
    <w:rsid w:val="00E67BA7"/>
    <w:rsid w:val="00E80493"/>
    <w:rsid w:val="00ED09B9"/>
    <w:rsid w:val="00EF6952"/>
    <w:rsid w:val="00F00CEE"/>
    <w:rsid w:val="00F0538F"/>
    <w:rsid w:val="00F102BC"/>
    <w:rsid w:val="00F33553"/>
    <w:rsid w:val="00F41A65"/>
    <w:rsid w:val="00F41C91"/>
    <w:rsid w:val="00F85C1D"/>
    <w:rsid w:val="00FA3ABD"/>
    <w:rsid w:val="00FB3B64"/>
    <w:rsid w:val="00FB3BCD"/>
    <w:rsid w:val="00FB604B"/>
    <w:rsid w:val="00FB6F22"/>
    <w:rsid w:val="00FC30A1"/>
    <w:rsid w:val="00FE0EB8"/>
    <w:rsid w:val="00FE6999"/>
    <w:rsid w:val="09394CAC"/>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qFormat/>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qFormat/>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qFormat/>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145CDE-95D6-4948-B308-146B2615A67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691</Words>
  <Characters>3945</Characters>
  <Lines>32</Lines>
  <Paragraphs>9</Paragraphs>
  <TotalTime>260</TotalTime>
  <ScaleCrop>false</ScaleCrop>
  <LinksUpToDate>false</LinksUpToDate>
  <CharactersWithSpaces>4627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1996wny</cp:lastModifiedBy>
  <cp:lastPrinted>2019-10-15T07:44:00Z</cp:lastPrinted>
  <dcterms:modified xsi:type="dcterms:W3CDTF">2022-04-20T07:57:50Z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2052-11.3.0.9228</vt:lpwstr>
  </property>
</Properties>
</file>