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color w:val="auto"/>
          <w:sz w:val="48"/>
          <w:szCs w:val="48"/>
          <w:u w:val="single"/>
          <w:shd w:val="clear" w:color="auto" w:fill="FFFFFF"/>
        </w:rPr>
      </w:pPr>
      <w:r>
        <w:rPr>
          <w:rFonts w:hint="eastAsia" w:ascii="宋体" w:hAnsi="宋体"/>
          <w:color w:val="auto"/>
          <w:sz w:val="48"/>
          <w:szCs w:val="48"/>
          <w:shd w:val="clear" w:color="auto" w:fill="FFFFFF"/>
        </w:rPr>
        <w:t>超值宝3年8期理财产品</w:t>
      </w:r>
    </w:p>
    <w:p>
      <w:pPr>
        <w:spacing w:before="156" w:beforeLines="50" w:after="156" w:afterLines="50" w:line="360" w:lineRule="auto"/>
        <w:jc w:val="center"/>
        <w:rPr>
          <w:rFonts w:ascii="宋体" w:hAnsi="宋体"/>
          <w:color w:val="auto"/>
          <w:sz w:val="48"/>
          <w:szCs w:val="48"/>
        </w:rPr>
      </w:pPr>
      <w:r>
        <w:rPr>
          <w:rFonts w:ascii="宋体" w:hAnsi="宋体"/>
          <w:color w:val="auto"/>
          <w:sz w:val="48"/>
          <w:szCs w:val="48"/>
          <w:shd w:val="clear" w:color="auto" w:fill="FFFFFF"/>
        </w:rPr>
        <w:t>2022年第4季度</w:t>
      </w:r>
      <w:r>
        <w:rPr>
          <w:rFonts w:hint="eastAsia" w:ascii="宋体" w:hAnsi="宋体"/>
          <w:color w:val="auto"/>
          <w:sz w:val="48"/>
          <w:szCs w:val="48"/>
          <w:shd w:val="clear" w:color="auto" w:fill="FFFFFF"/>
        </w:rPr>
        <w:t>报告</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ascii="宋体" w:hAnsi="宋体"/>
          <w:b/>
          <w:color w:val="auto"/>
          <w:sz w:val="32"/>
          <w:szCs w:val="32"/>
          <w:shd w:val="clear" w:color="auto" w:fill="FFFFFF"/>
        </w:rPr>
        <w:t>2022年12月31日</w:t>
      </w:r>
      <w:bookmarkStart w:id="0" w:name="OLE_LINK3"/>
      <w:bookmarkEnd w:id="0"/>
      <w:bookmarkStart w:id="1" w:name="OLE_LINK1"/>
      <w:bookmarkEnd w:id="1"/>
      <w:bookmarkStart w:id="2" w:name="OLE_LINK2"/>
      <w:bookmarkEnd w:id="2"/>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产品管理人：</w:t>
      </w:r>
      <w:r>
        <w:rPr>
          <w:rFonts w:ascii="宋体" w:hAnsi="宋体"/>
          <w:b/>
          <w:color w:val="auto"/>
          <w:sz w:val="32"/>
          <w:szCs w:val="32"/>
          <w:shd w:val="clear" w:color="auto" w:fill="FFFFFF"/>
        </w:rPr>
        <w:t>贵阳农村商业银行股份有限公司</w:t>
      </w: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产品托管人：</w:t>
      </w:r>
      <w:r>
        <w:rPr>
          <w:rFonts w:hint="eastAsia" w:ascii="宋体" w:hAnsi="宋体"/>
          <w:b/>
          <w:color w:val="auto"/>
          <w:sz w:val="32"/>
          <w:szCs w:val="32"/>
          <w:shd w:val="clear" w:color="auto" w:fill="FFFFFF"/>
        </w:rPr>
        <w:t>招商银行股份有限公司</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hint="eastAsia" w:ascii="宋体" w:hAnsi="宋体"/>
          <w:b/>
          <w:color w:val="auto"/>
          <w:sz w:val="32"/>
          <w:szCs w:val="32"/>
          <w:shd w:val="clear" w:color="auto" w:fill="FFFFFF"/>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shd w:val="clear" w:color="auto" w:fill="FFFFFF"/>
        </w:rPr>
        <w:t>§1  重要提示</w:t>
      </w:r>
    </w:p>
    <w:p>
      <w:pPr>
        <w:spacing w:before="156" w:beforeLines="50" w:after="156" w:afterLines="50" w:line="600" w:lineRule="exact"/>
        <w:ind w:firstLine="420" w:firstLineChars="200"/>
        <w:rPr>
          <w:color w:val="auto"/>
        </w:rPr>
      </w:pPr>
      <w:r>
        <w:rPr>
          <w:color w:val="auto"/>
        </w:rPr>
        <w:t>产品管理人保证本报告所载资料不存在虚假记载、误导性陈述或重大遗漏</w:t>
      </w:r>
      <w:r>
        <w:rPr>
          <w:rFonts w:hint="eastAsia"/>
          <w:color w:val="auto"/>
        </w:rPr>
        <w:t>，</w:t>
      </w:r>
      <w:r>
        <w:rPr>
          <w:color w:val="auto"/>
        </w:rPr>
        <w:t>并对其内容的真实性、准确性和完整性承担个别及连带责任。</w:t>
      </w:r>
    </w:p>
    <w:p>
      <w:pPr>
        <w:spacing w:before="156" w:beforeLines="50" w:after="156" w:afterLines="50" w:line="600" w:lineRule="exact"/>
        <w:ind w:firstLine="420" w:firstLineChars="200"/>
        <w:rPr>
          <w:rFonts w:ascii="宋体" w:hAnsi="宋体"/>
          <w:b/>
          <w:color w:val="auto"/>
          <w:sz w:val="32"/>
          <w:szCs w:val="32"/>
          <w:shd w:val="clear" w:color="auto" w:fill="FFFFFF"/>
        </w:rPr>
      </w:pPr>
      <w:r>
        <w:rPr>
          <w:color w:val="auto"/>
        </w:rPr>
        <w:t>产品托管人</w:t>
      </w:r>
      <w:r>
        <w:rPr>
          <w:rFonts w:hint="eastAsia"/>
          <w:color w:val="auto"/>
        </w:rPr>
        <w:t>招商</w:t>
      </w:r>
      <w:r>
        <w:rPr>
          <w:color w:val="auto"/>
        </w:rPr>
        <w:t>银行股份有限公司</w:t>
      </w:r>
      <w:r>
        <w:rPr>
          <w:rFonts w:hint="eastAsia"/>
          <w:color w:val="auto"/>
        </w:rPr>
        <w:t>，</w:t>
      </w:r>
      <w:r>
        <w:rPr>
          <w:color w:val="auto"/>
        </w:rPr>
        <w:t>已复核了本报告中的财务指标、净值表现和投资组合报告等内容</w:t>
      </w:r>
      <w:r>
        <w:rPr>
          <w:rFonts w:hint="eastAsia"/>
          <w:color w:val="auto"/>
        </w:rPr>
        <w:t>，</w:t>
      </w:r>
      <w:r>
        <w:rPr>
          <w:color w:val="auto"/>
        </w:rPr>
        <w:t>保证复核内容不存在虚假记载、误导性陈述或者重大遗漏</w:t>
      </w:r>
      <w:r>
        <w:rPr>
          <w:rFonts w:hint="eastAsia"/>
          <w:color w:val="auto"/>
        </w:rPr>
        <w:t>。</w:t>
      </w:r>
      <w:r>
        <w:rPr>
          <w:color w:val="auto"/>
        </w:rPr>
        <w:t>本报告中财务资料未经审计</w:t>
      </w:r>
      <w:r>
        <w:rPr>
          <w:rFonts w:hint="eastAsia"/>
          <w:color w:val="auto"/>
        </w:rPr>
        <w:t>。</w:t>
      </w:r>
      <w:r>
        <w:rPr>
          <w:color w:val="auto"/>
        </w:rPr>
        <w:t>2022年10月01日</w:t>
      </w:r>
      <w:bookmarkStart w:id="3" w:name="OLE_LINK6"/>
      <w:bookmarkEnd w:id="3"/>
      <w:bookmarkStart w:id="4" w:name="OLE_LINK5"/>
      <w:bookmarkEnd w:id="4"/>
      <w:r>
        <w:rPr>
          <w:color w:val="auto"/>
        </w:rPr>
        <w:t>起至2022年12月31日止。</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rPr>
          <w:rFonts w:ascii="宋体" w:hAnsi="宋体"/>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bookmarkStart w:id="5" w:name="_Toc194311890"/>
      <w:bookmarkStart w:id="6" w:name="_Toc528772556"/>
      <w:r>
        <w:rPr>
          <w:rFonts w:hint="eastAsia" w:asciiTheme="minorEastAsia" w:hAnsiTheme="minorEastAsia" w:eastAsiaTheme="minorEastAsia"/>
          <w:b/>
          <w:color w:val="auto"/>
          <w:sz w:val="24"/>
          <w:szCs w:val="24"/>
          <w:shd w:val="clear" w:color="auto" w:fill="FFFFFF"/>
        </w:rPr>
        <w:t>§2</w:t>
      </w:r>
      <w:bookmarkEnd w:id="5"/>
      <w:bookmarkEnd w:id="6"/>
      <w:r>
        <w:rPr>
          <w:rFonts w:hint="eastAsia" w:asciiTheme="minorEastAsia" w:hAnsiTheme="minorEastAsia" w:eastAsiaTheme="minorEastAsia"/>
          <w:b/>
          <w:color w:val="auto"/>
          <w:sz w:val="24"/>
          <w:szCs w:val="24"/>
          <w:shd w:val="clear" w:color="auto" w:fill="FFFFFF"/>
        </w:rPr>
        <w:t>产品概况</w:t>
      </w: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p>
    <w:tbl>
      <w:tblPr>
        <w:tblStyle w:val="11"/>
        <w:tblpPr w:leftFromText="180" w:rightFromText="180" w:vertAnchor="text" w:horzAnchor="margin" w:tblpY="8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7"/>
        <w:gridCol w:w="5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产品名称</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ascii="宋体" w:hAnsi="宋体"/>
                <w:color w:val="auto"/>
                <w:kern w:val="0"/>
                <w:szCs w:val="21"/>
                <w:shd w:val="clear" w:color="auto" w:fill="FFFFFF"/>
              </w:rPr>
              <w:t>超值宝3年8期理财产品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产品登记编码</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C1188320000133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报告期末产品份额总额</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kern w:val="0"/>
                <w:szCs w:val="21"/>
                <w:shd w:val="clear" w:color="auto" w:fill="FFFFFF"/>
              </w:rPr>
              <w:t>4,470,000.00份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报告期末产品存续规模</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szCs w:val="21"/>
                <w:shd w:val="clear" w:color="auto" w:fill="FFFFFF"/>
              </w:rPr>
              <w:t>5,025,075.73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投资类型</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投资标的</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投资策略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w:t>
            </w:r>
            <w:r>
              <w:rPr>
                <w:rFonts w:ascii="宋体" w:hAnsi="宋体"/>
                <w:color w:val="auto"/>
                <w:szCs w:val="21"/>
                <w:shd w:val="clear" w:color="auto" w:fill="FFFFFF"/>
              </w:rPr>
              <w:t>费率</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本产品收取固定销售费</w:t>
            </w:r>
            <w:r>
              <w:rPr>
                <w:rFonts w:ascii="宋体" w:hAnsi="宋体"/>
                <w:color w:val="auto"/>
                <w:szCs w:val="21"/>
                <w:shd w:val="clear" w:color="auto" w:fill="FFFFFF"/>
              </w:rPr>
              <w:t>0.20000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，固定管理费</w:t>
            </w:r>
            <w:r>
              <w:rPr>
                <w:rFonts w:ascii="宋体" w:hAnsi="宋体"/>
                <w:color w:val="auto"/>
                <w:szCs w:val="21"/>
                <w:shd w:val="clear" w:color="auto" w:fill="FFFFFF"/>
              </w:rPr>
              <w:t>0.30000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、固定托管费</w:t>
            </w:r>
            <w:r>
              <w:rPr>
                <w:rFonts w:ascii="宋体" w:hAnsi="宋体"/>
                <w:color w:val="auto"/>
                <w:szCs w:val="21"/>
                <w:shd w:val="clear" w:color="auto" w:fill="FFFFFF"/>
              </w:rPr>
              <w:t>0.02000</w:t>
            </w:r>
            <w:r>
              <w:rPr>
                <w:rFonts w:hint="eastAsia" w:ascii="宋体" w:hAnsi="宋体"/>
                <w:color w:val="auto"/>
                <w:szCs w:val="21"/>
                <w:shd w:val="clear" w:color="auto" w:fill="FFFFFF"/>
              </w:rPr>
              <w:t>%/年</w:t>
            </w:r>
            <w:r>
              <w:rPr>
                <w:rFonts w:hint="eastAsia" w:ascii="宋体" w:hAnsi="宋体"/>
                <w:color w:val="auto"/>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成立日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p>
          <w:p>
            <w:pPr>
              <w:rPr>
                <w:rFonts w:ascii="宋体" w:hAnsi="宋体"/>
                <w:color w:val="auto"/>
                <w:szCs w:val="21"/>
                <w:shd w:val="clear" w:color="auto" w:fill="FFFFFF"/>
              </w:rPr>
            </w:pPr>
            <w:r>
              <w:rPr>
                <w:rFonts w:ascii="宋体" w:hAnsi="宋体"/>
                <w:color w:val="auto"/>
                <w:szCs w:val="21"/>
                <w:shd w:val="clear" w:color="auto" w:fill="FFFFFF"/>
              </w:rPr>
              <w:t>2021年01月12日</w:t>
            </w:r>
          </w:p>
          <w:p>
            <w:pPr>
              <w:rPr>
                <w:rFonts w:ascii="宋体" w:hAnsi="宋体"/>
                <w:color w:val="auto"/>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终止日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2024年01月11日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估值方法</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杠杆水平</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100.97%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业绩比较基准</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[5.4%-6%]/年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风险等级</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产品管理人</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产品托管人</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投资账户信息</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szCs w:val="21"/>
                <w:shd w:val="clear" w:color="auto" w:fill="FFFFFF"/>
              </w:rPr>
              <w:t xml:space="preserve">户名： </w:t>
            </w:r>
            <w:r>
              <w:rPr>
                <w:rFonts w:hint="eastAsia"/>
                <w:color w:val="auto"/>
              </w:rPr>
              <w:t>贵阳农村商业银行股份有限公司-超值宝3年8期</w:t>
            </w:r>
          </w:p>
          <w:p>
            <w:pPr>
              <w:rPr>
                <w:rFonts w:ascii="宋体" w:hAnsi="宋体"/>
                <w:color w:val="auto"/>
                <w:szCs w:val="21"/>
                <w:shd w:val="clear" w:color="auto" w:fill="FFFFFF"/>
              </w:rPr>
            </w:pPr>
            <w:r>
              <w:rPr>
                <w:rFonts w:hint="eastAsia" w:ascii="宋体" w:hAnsi="宋体"/>
                <w:color w:val="auto"/>
                <w:szCs w:val="21"/>
                <w:shd w:val="clear" w:color="auto" w:fill="FFFFFF"/>
              </w:rPr>
              <w:t xml:space="preserve">账号： </w:t>
            </w:r>
            <w:r>
              <w:rPr>
                <w:color w:val="auto"/>
              </w:rPr>
              <w:t>851900159610110</w:t>
            </w:r>
          </w:p>
          <w:p>
            <w:pPr>
              <w:rPr>
                <w:rFonts w:ascii="宋体" w:hAnsi="宋体"/>
                <w:color w:val="auto"/>
                <w:szCs w:val="21"/>
                <w:shd w:val="clear" w:color="auto" w:fill="FFFFFF"/>
              </w:rPr>
            </w:pPr>
            <w:r>
              <w:rPr>
                <w:rFonts w:hint="eastAsia" w:ascii="宋体" w:hAnsi="宋体"/>
                <w:color w:val="auto"/>
                <w:szCs w:val="21"/>
                <w:shd w:val="clear" w:color="auto" w:fill="FFFFFF"/>
              </w:rPr>
              <w:t xml:space="preserve">开户行： </w:t>
            </w:r>
            <w:r>
              <w:rPr>
                <w:rFonts w:hint="eastAsia"/>
                <w:color w:val="auto"/>
              </w:rPr>
              <w:t>招商银行贵阳分行营业部</w:t>
            </w:r>
          </w:p>
        </w:tc>
      </w:tr>
    </w:tbl>
    <w:p>
      <w:pPr>
        <w:widowControl/>
        <w:jc w:val="left"/>
        <w:rPr>
          <w:rFonts w:asciiTheme="minorEastAsia" w:hAnsiTheme="minorEastAsia" w:eastAsiaTheme="minorEastAsia"/>
          <w:b/>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3</w:t>
      </w:r>
      <w:r>
        <w:rPr>
          <w:rFonts w:hint="eastAsia" w:asciiTheme="minorEastAsia" w:hAnsiTheme="minorEastAsia" w:eastAsiaTheme="minorEastAsia"/>
          <w:b/>
          <w:color w:val="auto"/>
          <w:sz w:val="24"/>
          <w:szCs w:val="24"/>
        </w:rPr>
        <w:t xml:space="preserve">  主要财务指标和净值表现</w:t>
      </w:r>
    </w:p>
    <w:p>
      <w:pPr>
        <w:spacing w:before="156" w:beforeLines="50" w:line="360" w:lineRule="exact"/>
        <w:rPr>
          <w:b/>
          <w:color w:val="auto"/>
        </w:rPr>
      </w:pPr>
      <w:r>
        <w:rPr>
          <w:b/>
          <w:color w:val="auto"/>
        </w:rPr>
        <w:t xml:space="preserve">3.1 </w:t>
      </w:r>
      <w:r>
        <w:rPr>
          <w:rFonts w:hint="eastAsia"/>
          <w:b/>
          <w:color w:val="auto"/>
        </w:rPr>
        <w:t>主要财务指标</w:t>
      </w:r>
    </w:p>
    <w:p>
      <w:pPr>
        <w:spacing w:before="156" w:beforeLines="50" w:line="360" w:lineRule="exact"/>
        <w:jc w:val="right"/>
        <w:rPr>
          <w:color w:val="auto"/>
        </w:rPr>
      </w:pPr>
      <w:r>
        <w:rPr>
          <w:rFonts w:hint="eastAsia"/>
          <w:color w:val="auto"/>
        </w:rPr>
        <w:t>单位：人民币元</w:t>
      </w:r>
    </w:p>
    <w:tbl>
      <w:tblPr>
        <w:tblStyle w:val="12"/>
        <w:tblW w:w="829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551"/>
        <w:gridCol w:w="574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主要财务指标</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报告期（</w:t>
            </w:r>
            <w:r>
              <w:rPr>
                <w:rFonts w:ascii="宋体" w:hAnsi="宋体"/>
                <w:color w:val="auto"/>
                <w:szCs w:val="21"/>
                <w:shd w:val="clear" w:color="auto" w:fill="FFFFFF"/>
              </w:rPr>
              <w:t>2022年10月01日</w:t>
            </w:r>
            <w:r>
              <w:rPr>
                <w:rFonts w:hint="eastAsia" w:ascii="宋体" w:hAnsi="宋体"/>
                <w:color w:val="auto"/>
                <w:szCs w:val="21"/>
                <w:shd w:val="clear" w:color="auto" w:fill="FFFFFF"/>
              </w:rPr>
              <w:t>-</w:t>
            </w:r>
            <w:r>
              <w:rPr>
                <w:rFonts w:ascii="宋体" w:hAnsi="宋体"/>
                <w:color w:val="auto"/>
                <w:szCs w:val="21"/>
                <w:shd w:val="clear" w:color="auto" w:fill="FFFFFF"/>
              </w:rPr>
              <w:t>2022年12月31日</w:t>
            </w:r>
            <w:r>
              <w:rPr>
                <w:rFonts w:hint="eastAsia" w:ascii="宋体" w:hAnsi="宋体"/>
                <w:color w:val="auto"/>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1.</w:t>
            </w:r>
            <w:r>
              <w:rPr>
                <w:rFonts w:hint="eastAsia" w:ascii="宋体" w:hAnsi="宋体"/>
                <w:color w:val="auto"/>
                <w:szCs w:val="21"/>
              </w:rPr>
              <w:t>本期已实现收益</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-6,568.47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2.本期利润</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27,682.69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3.期末产品资产净值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5,025,075.73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4.期末产品份额净值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1.1242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5.期末产品份额累计净值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1.1242</w:t>
            </w:r>
          </w:p>
        </w:tc>
      </w:tr>
    </w:tbl>
    <w:p>
      <w:pPr>
        <w:spacing w:before="156" w:beforeLines="50" w:line="360" w:lineRule="exact"/>
        <w:rPr>
          <w:color w:val="auto"/>
        </w:rPr>
      </w:pPr>
      <w:r>
        <w:rPr>
          <w:rFonts w:hint="eastAsia"/>
          <w:color w:val="auto"/>
        </w:rPr>
        <w:t>注：</w:t>
      </w:r>
      <w:r>
        <w:rPr>
          <w:color w:val="auto"/>
        </w:rPr>
        <w:t>1</w:t>
      </w:r>
      <w:r>
        <w:rPr>
          <w:rFonts w:hint="eastAsia"/>
          <w:color w:val="auto"/>
        </w:rPr>
        <w:t>、本期收益为本期已实现收益加上本期公允价值变动收益；</w:t>
      </w:r>
    </w:p>
    <w:p>
      <w:pPr>
        <w:spacing w:before="156" w:beforeLines="50" w:line="360" w:lineRule="exact"/>
        <w:rPr>
          <w:color w:val="auto"/>
        </w:rPr>
      </w:pPr>
      <w:r>
        <w:rPr>
          <w:color w:val="auto"/>
        </w:rPr>
        <w:t xml:space="preserve">    2</w:t>
      </w:r>
      <w:r>
        <w:rPr>
          <w:rFonts w:hint="eastAsia"/>
          <w:color w:val="auto"/>
        </w:rPr>
        <w:t>四舍五入法保留至小数点后第</w:t>
      </w:r>
      <w:r>
        <w:rPr>
          <w:color w:val="auto"/>
        </w:rPr>
        <w:t>4</w:t>
      </w:r>
      <w:r>
        <w:rPr>
          <w:rFonts w:hint="eastAsia"/>
          <w:color w:val="auto"/>
        </w:rPr>
        <w:t>位，其他财务指标保留至小数点后第</w:t>
      </w:r>
      <w:r>
        <w:rPr>
          <w:color w:val="auto"/>
        </w:rPr>
        <w:t>2</w:t>
      </w:r>
      <w:r>
        <w:rPr>
          <w:rFonts w:hint="eastAsia"/>
          <w:color w:val="auto"/>
        </w:rPr>
        <w:t>位；</w:t>
      </w:r>
    </w:p>
    <w:p>
      <w:pPr>
        <w:spacing w:before="156" w:beforeLines="50" w:line="360" w:lineRule="exact"/>
        <w:ind w:firstLine="420" w:firstLineChars="200"/>
        <w:rPr>
          <w:color w:val="auto"/>
        </w:rPr>
      </w:pPr>
      <w:r>
        <w:rPr>
          <w:color w:val="auto"/>
        </w:rPr>
        <w:t>3</w:t>
      </w:r>
      <w:r>
        <w:rPr>
          <w:rFonts w:hint="eastAsia"/>
          <w:color w:val="auto"/>
        </w:rPr>
        <w:t>、期末即最后一个自然日；</w:t>
      </w:r>
    </w:p>
    <w:p>
      <w:pPr>
        <w:spacing w:before="156" w:beforeLines="50" w:line="360" w:lineRule="exact"/>
        <w:rPr>
          <w:color w:val="auto"/>
        </w:rPr>
      </w:pPr>
      <w:r>
        <w:rPr>
          <w:color w:val="auto"/>
        </w:rPr>
        <w:tab/>
      </w:r>
      <w:r>
        <w:rPr>
          <w:color w:val="auto"/>
        </w:rPr>
        <w:t>4</w:t>
      </w:r>
      <w:r>
        <w:rPr>
          <w:rFonts w:hint="eastAsia"/>
          <w:color w:val="auto"/>
        </w:rPr>
        <w:t>、</w:t>
      </w:r>
      <w:r>
        <w:rPr>
          <w:rFonts w:hint="eastAsia"/>
          <w:color w:val="auto"/>
        </w:rPr>
        <w:t>未进行分红。</w:t>
      </w:r>
    </w:p>
    <w:p>
      <w:pPr>
        <w:spacing w:before="156" w:beforeLines="50" w:line="360" w:lineRule="exact"/>
        <w:rPr>
          <w:color w:val="auto"/>
        </w:rPr>
      </w:pPr>
    </w:p>
    <w:p>
      <w:pPr>
        <w:spacing w:before="156" w:beforeLines="50" w:line="360" w:lineRule="exact"/>
        <w:rPr>
          <w:b/>
          <w:color w:val="auto"/>
        </w:rPr>
      </w:pPr>
      <w:r>
        <w:rPr>
          <w:b/>
          <w:color w:val="auto"/>
        </w:rPr>
        <w:t xml:space="preserve">3.2 </w:t>
      </w:r>
      <w:r>
        <w:rPr>
          <w:rFonts w:hint="eastAsia"/>
          <w:b/>
          <w:color w:val="auto"/>
        </w:rPr>
        <w:t>产品净值表现</w:t>
      </w:r>
    </w:p>
    <w:p>
      <w:pPr>
        <w:spacing w:before="156" w:beforeLines="50" w:line="360" w:lineRule="exact"/>
        <w:rPr>
          <w:color w:val="auto"/>
        </w:rPr>
      </w:pPr>
      <w:r>
        <w:rPr>
          <w:color w:val="auto"/>
        </w:rPr>
        <w:t>3.2.1</w:t>
      </w:r>
      <w:r>
        <w:rPr>
          <w:rFonts w:hint="eastAsia"/>
          <w:color w:val="auto"/>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auto"/>
              </w:rPr>
            </w:pPr>
            <w:r>
              <w:rPr>
                <w:rFonts w:hint="eastAsia"/>
                <w:b/>
                <w:color w:val="auto"/>
              </w:rPr>
              <w:t>阶段</w:t>
            </w:r>
          </w:p>
        </w:tc>
        <w:tc>
          <w:tcPr>
            <w:tcW w:w="1843" w:type="dxa"/>
            <w:shd w:val="clear" w:color="auto" w:fill="D9D9D9"/>
            <w:vAlign w:val="center"/>
          </w:tcPr>
          <w:p>
            <w:pPr>
              <w:jc w:val="center"/>
              <w:rPr>
                <w:rFonts w:ascii="宋体" w:hAnsi="宋体"/>
                <w:b/>
                <w:color w:val="auto"/>
              </w:rPr>
            </w:pPr>
            <w:r>
              <w:rPr>
                <w:rFonts w:hint="eastAsia"/>
                <w:b/>
                <w:color w:val="auto"/>
              </w:rPr>
              <w:t>净值增长率（%）</w:t>
            </w:r>
          </w:p>
        </w:tc>
        <w:tc>
          <w:tcPr>
            <w:tcW w:w="1843" w:type="dxa"/>
            <w:shd w:val="clear" w:color="auto" w:fill="D9D9D9"/>
            <w:vAlign w:val="center"/>
          </w:tcPr>
          <w:p>
            <w:pPr>
              <w:jc w:val="center"/>
              <w:rPr>
                <w:rFonts w:ascii="宋体" w:hAnsi="宋体"/>
                <w:b/>
                <w:color w:val="auto"/>
              </w:rPr>
            </w:pPr>
            <w:r>
              <w:rPr>
                <w:rFonts w:hint="eastAsia"/>
                <w:b/>
                <w:color w:val="auto"/>
              </w:rPr>
              <w:t>业绩比较</w:t>
            </w:r>
            <w:r>
              <w:rPr>
                <w:b/>
                <w:color w:val="auto"/>
              </w:rPr>
              <w:t>基准</w:t>
            </w:r>
            <w:r>
              <w:rPr>
                <w:rFonts w:hint="eastAsia"/>
                <w:b/>
                <w:color w:val="auto"/>
              </w:rPr>
              <w:t>增长率-低（%）</w:t>
            </w:r>
          </w:p>
        </w:tc>
        <w:tc>
          <w:tcPr>
            <w:tcW w:w="1843" w:type="dxa"/>
            <w:shd w:val="clear" w:color="auto" w:fill="D9D9D9"/>
          </w:tcPr>
          <w:p>
            <w:pPr>
              <w:jc w:val="right"/>
              <w:rPr>
                <w:b/>
                <w:color w:val="auto"/>
              </w:rPr>
            </w:pPr>
            <w:r>
              <w:rPr>
                <w:rFonts w:hint="eastAsia"/>
                <w:b/>
                <w:color w:val="auto"/>
              </w:rPr>
              <w:t>业绩比较</w:t>
            </w:r>
            <w:r>
              <w:rPr>
                <w:b/>
                <w:color w:val="auto"/>
              </w:rPr>
              <w:t>基准</w:t>
            </w:r>
            <w:r>
              <w:rPr>
                <w:rFonts w:hint="eastAsia"/>
                <w:b/>
                <w:color w:val="auto"/>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当期（</w:t>
            </w:r>
            <w:r>
              <w:rPr>
                <w:rFonts w:ascii="宋体" w:hAnsi="宋体"/>
                <w:color w:val="auto"/>
              </w:rPr>
              <w:t>2022年10月01日</w:t>
            </w:r>
            <w:r>
              <w:rPr>
                <w:rFonts w:hint="eastAsia" w:ascii="宋体" w:hAnsi="宋体"/>
                <w:color w:val="auto"/>
              </w:rPr>
              <w:t>至</w:t>
            </w:r>
            <w:r>
              <w:rPr>
                <w:rFonts w:ascii="宋体" w:hAnsi="宋体"/>
                <w:color w:val="auto"/>
              </w:rPr>
              <w:t>2022年12月31日</w:t>
            </w:r>
            <w:r>
              <w:rPr>
                <w:rFonts w:hint="eastAsia" w:ascii="宋体" w:hAnsi="宋体"/>
                <w:color w:val="auto"/>
              </w:rPr>
              <w:t>）</w:t>
            </w:r>
          </w:p>
        </w:tc>
        <w:tc>
          <w:tcPr>
            <w:tcW w:w="1843" w:type="dxa"/>
            <w:vAlign w:val="center"/>
          </w:tcPr>
          <w:p>
            <w:pPr>
              <w:spacing w:line="300" w:lineRule="auto"/>
              <w:jc w:val="right"/>
              <w:rPr>
                <w:rFonts w:ascii="微软雅黑" w:hAnsi="微软雅黑" w:eastAsia="微软雅黑" w:cs="微软雅黑"/>
                <w:color w:val="auto"/>
              </w:rPr>
            </w:pPr>
            <w:r>
              <w:rPr>
                <w:rFonts w:ascii="宋体" w:hAnsi="宋体"/>
                <w:color w:val="auto"/>
              </w:rPr>
              <w:t>0.55</w:t>
            </w:r>
          </w:p>
        </w:tc>
        <w:tc>
          <w:tcPr>
            <w:tcW w:w="1843" w:type="dxa"/>
            <w:vAlign w:val="center"/>
          </w:tcPr>
          <w:p>
            <w:pPr>
              <w:jc w:val="right"/>
              <w:rPr>
                <w:rFonts w:ascii="宋体" w:hAnsi="宋体"/>
                <w:color w:val="auto"/>
              </w:rPr>
            </w:pPr>
            <w:r>
              <w:rPr>
                <w:rFonts w:ascii="宋体" w:hAnsi="宋体"/>
                <w:color w:val="auto"/>
              </w:rPr>
              <w:t>1.36</w:t>
            </w:r>
          </w:p>
        </w:tc>
        <w:tc>
          <w:tcPr>
            <w:tcW w:w="1843" w:type="dxa"/>
            <w:vAlign w:val="center"/>
          </w:tcPr>
          <w:p>
            <w:pPr>
              <w:jc w:val="right"/>
              <w:rPr>
                <w:rFonts w:ascii="宋体" w:hAnsi="宋体"/>
                <w:color w:val="auto"/>
              </w:rPr>
            </w:pPr>
            <w:r>
              <w:rPr>
                <w:rFonts w:ascii="宋体" w:hAnsi="宋体"/>
                <w:color w:val="auto"/>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自产品成立日至今</w:t>
            </w:r>
          </w:p>
        </w:tc>
        <w:tc>
          <w:tcPr>
            <w:tcW w:w="1843" w:type="dxa"/>
            <w:vAlign w:val="center"/>
          </w:tcPr>
          <w:p>
            <w:pPr>
              <w:jc w:val="right"/>
              <w:rPr>
                <w:rFonts w:ascii="宋体" w:hAnsi="宋体"/>
                <w:color w:val="auto"/>
              </w:rPr>
            </w:pPr>
            <w:r>
              <w:rPr>
                <w:rFonts w:ascii="宋体" w:hAnsi="宋体"/>
                <w:color w:val="auto"/>
              </w:rPr>
              <w:t>12.42</w:t>
            </w:r>
            <w:bookmarkStart w:id="7" w:name="OLE_LINK4"/>
            <w:bookmarkEnd w:id="7"/>
            <w:bookmarkStart w:id="8" w:name="OLE_LINK7"/>
            <w:bookmarkEnd w:id="8"/>
          </w:p>
        </w:tc>
        <w:tc>
          <w:tcPr>
            <w:tcW w:w="1843" w:type="dxa"/>
            <w:vAlign w:val="center"/>
          </w:tcPr>
          <w:p>
            <w:pPr>
              <w:jc w:val="right"/>
              <w:rPr>
                <w:rFonts w:ascii="宋体" w:hAnsi="宋体"/>
                <w:color w:val="auto"/>
              </w:rPr>
            </w:pPr>
            <w:r>
              <w:rPr>
                <w:rFonts w:ascii="宋体" w:hAnsi="宋体"/>
                <w:color w:val="auto"/>
              </w:rPr>
              <w:t>10.64</w:t>
            </w:r>
          </w:p>
        </w:tc>
        <w:tc>
          <w:tcPr>
            <w:tcW w:w="1843" w:type="dxa"/>
            <w:vAlign w:val="center"/>
          </w:tcPr>
          <w:p>
            <w:pPr>
              <w:jc w:val="right"/>
              <w:rPr>
                <w:rFonts w:ascii="宋体" w:hAnsi="宋体"/>
                <w:color w:val="auto"/>
              </w:rPr>
            </w:pPr>
            <w:r>
              <w:rPr>
                <w:rFonts w:ascii="宋体" w:hAnsi="宋体"/>
                <w:color w:val="auto"/>
              </w:rPr>
              <w:t>11.82</w:t>
            </w:r>
          </w:p>
        </w:tc>
      </w:tr>
    </w:tbl>
    <w:p>
      <w:pPr>
        <w:spacing w:before="156" w:beforeLines="50" w:line="360" w:lineRule="exact"/>
        <w:rPr>
          <w:color w:val="auto"/>
        </w:rPr>
      </w:pPr>
    </w:p>
    <w:p>
      <w:pPr>
        <w:spacing w:before="156" w:beforeLines="50" w:line="360" w:lineRule="exact"/>
        <w:rPr>
          <w:color w:val="auto"/>
        </w:rPr>
      </w:pPr>
      <w:r>
        <w:rPr>
          <w:color w:val="auto"/>
        </w:rPr>
        <w:t>3.2.2</w:t>
      </w:r>
      <w:r>
        <w:rPr>
          <w:rFonts w:hint="eastAsia"/>
          <w:color w:val="auto"/>
        </w:rPr>
        <w:t>产品累计份额净值增长率与同期业绩比较基准收益率变动比较走势图</w:t>
      </w:r>
    </w:p>
    <w:p>
      <w:pPr>
        <w:spacing w:before="156" w:beforeLines="50" w:after="156" w:afterLines="50" w:line="360" w:lineRule="auto"/>
        <w:jc w:val="center"/>
        <w:rPr>
          <w:color w:val="auto"/>
        </w:rPr>
      </w:pPr>
      <w:bookmarkStart w:id="9" w:name="OLE_LINK13"/>
      <w:bookmarkStart w:id="10" w:name="OLE_LINK12"/>
      <w:r>
        <w:rPr>
          <w:color w:val="auto"/>
        </w:rPr>
        <w:drawing>
          <wp:inline distT="0" distB="0" distL="0" distR="0">
            <wp:extent cx="5238750" cy="2095500"/>
            <wp:effectExtent l="0" t="0" r="0" b="0"/>
            <wp:docPr id="1" name="图片 1" descr="JFreeChart/WB003327_Q_DQBGNSMB_JZBJJZZST_2022-12-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JFreeChart/WB003327_Q_DQBGNSMB_JZBJJZZST_2022-12-31.jpeg"/>
                    <pic:cNvPicPr>
                      <a:picLocks noChangeAspect="1"/>
                    </pic:cNvPicPr>
                  </pic:nvPicPr>
                  <pic:blipFill>
                    <a:blip r:embed="rId5"/>
                    <a:stretch>
                      <a:fillRect/>
                    </a:stretch>
                  </pic:blipFill>
                  <pic:spPr>
                    <a:xfrm>
                      <a:off x="0" y="0"/>
                      <a:ext cx="5238750" cy="2095500"/>
                    </a:xfrm>
                    <a:prstGeom prst="rect">
                      <a:avLst/>
                    </a:prstGeom>
                  </pic:spPr>
                </pic:pic>
              </a:graphicData>
            </a:graphic>
          </wp:inline>
        </w:drawing>
      </w:r>
    </w:p>
    <w:bookmarkEnd w:id="9"/>
    <w:bookmarkEnd w:id="10"/>
    <w:p>
      <w:pPr>
        <w:spacing w:before="156" w:beforeLines="50" w:after="156" w:afterLines="50" w:line="360" w:lineRule="auto"/>
        <w:jc w:val="center"/>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4</w:t>
      </w:r>
      <w:r>
        <w:rPr>
          <w:rFonts w:hint="eastAsia" w:asciiTheme="minorEastAsia" w:hAnsiTheme="minorEastAsia" w:eastAsiaTheme="minorEastAsia"/>
          <w:b/>
          <w:color w:val="auto"/>
          <w:sz w:val="24"/>
          <w:szCs w:val="24"/>
        </w:rPr>
        <w:t xml:space="preserve"> 管理人报告</w:t>
      </w:r>
    </w:p>
    <w:p>
      <w:pPr>
        <w:spacing w:before="156" w:beforeLines="50" w:line="360" w:lineRule="exact"/>
        <w:rPr>
          <w:b/>
          <w:color w:val="auto"/>
        </w:rPr>
      </w:pPr>
      <w:r>
        <w:rPr>
          <w:b/>
          <w:color w:val="auto"/>
        </w:rPr>
        <w:t xml:space="preserve">4.1 </w:t>
      </w:r>
      <w:r>
        <w:rPr>
          <w:rFonts w:hint="eastAsia"/>
          <w:b/>
          <w:color w:val="auto"/>
        </w:rPr>
        <w:t>报告期内产品投资策略和运作分析</w:t>
      </w:r>
    </w:p>
    <w:p>
      <w:pPr>
        <w:spacing w:before="156" w:beforeLines="50" w:line="360" w:lineRule="exact"/>
        <w:ind w:firstLine="420" w:firstLineChars="200"/>
        <w:rPr>
          <w:rFonts w:ascii="宋体" w:hAnsi="宋体"/>
          <w:color w:val="auto"/>
          <w:szCs w:val="21"/>
        </w:rPr>
      </w:pPr>
      <w:r>
        <w:rPr>
          <w:rFonts w:hint="eastAsia" w:ascii="宋体" w:hAnsi="宋体"/>
          <w:color w:val="auto"/>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auto"/>
        </w:rPr>
      </w:pPr>
    </w:p>
    <w:p>
      <w:pPr>
        <w:spacing w:before="156" w:beforeLines="50" w:line="360" w:lineRule="exact"/>
        <w:rPr>
          <w:b/>
          <w:color w:val="auto"/>
        </w:rPr>
      </w:pPr>
      <w:r>
        <w:rPr>
          <w:b/>
          <w:color w:val="auto"/>
        </w:rPr>
        <w:t xml:space="preserve">4.2 </w:t>
      </w:r>
      <w:r>
        <w:rPr>
          <w:rFonts w:hint="eastAsia"/>
          <w:b/>
          <w:color w:val="auto"/>
        </w:rPr>
        <w:t>报告期内产品的业绩表现</w:t>
      </w:r>
    </w:p>
    <w:p>
      <w:pPr>
        <w:spacing w:before="156" w:beforeLines="50" w:line="360" w:lineRule="exact"/>
        <w:ind w:firstLine="420" w:firstLineChars="200"/>
        <w:rPr>
          <w:rFonts w:ascii="宋体" w:hAnsi="宋体"/>
          <w:color w:val="auto"/>
          <w:szCs w:val="21"/>
        </w:rPr>
      </w:pPr>
      <w:r>
        <w:rPr>
          <w:rFonts w:ascii="宋体" w:hAnsi="宋体"/>
          <w:color w:val="auto"/>
          <w:szCs w:val="21"/>
        </w:rPr>
        <w:t>在报告期内</w:t>
      </w:r>
      <w:r>
        <w:rPr>
          <w:rFonts w:hint="eastAsia" w:ascii="宋体" w:hAnsi="宋体"/>
          <w:color w:val="auto"/>
          <w:szCs w:val="21"/>
        </w:rPr>
        <w:t>，</w:t>
      </w:r>
      <w:r>
        <w:rPr>
          <w:rFonts w:ascii="宋体" w:hAnsi="宋体"/>
          <w:color w:val="auto"/>
          <w:szCs w:val="21"/>
        </w:rPr>
        <w:t>产品份额净值增长率为</w:t>
      </w:r>
      <w:r>
        <w:rPr>
          <w:rFonts w:ascii="宋体" w:hAnsi="宋体"/>
          <w:color w:val="auto"/>
          <w:szCs w:val="21"/>
        </w:rPr>
        <w:t>0.55%</w:t>
      </w:r>
      <w:r>
        <w:rPr>
          <w:rFonts w:hint="eastAsia" w:ascii="宋体" w:hAnsi="宋体"/>
          <w:color w:val="auto"/>
          <w:szCs w:val="21"/>
        </w:rPr>
        <w:t>。</w:t>
      </w:r>
      <w:r>
        <w:rPr>
          <w:rFonts w:ascii="宋体" w:hAnsi="宋体"/>
          <w:color w:val="auto"/>
          <w:szCs w:val="21"/>
        </w:rPr>
        <w:t>报告期内</w:t>
      </w:r>
      <w:r>
        <w:rPr>
          <w:rFonts w:hint="eastAsia" w:ascii="宋体" w:hAnsi="宋体"/>
          <w:color w:val="auto"/>
          <w:szCs w:val="21"/>
        </w:rPr>
        <w:t>，</w:t>
      </w:r>
      <w:r>
        <w:rPr>
          <w:rFonts w:ascii="宋体" w:hAnsi="宋体"/>
          <w:color w:val="auto"/>
          <w:szCs w:val="21"/>
        </w:rPr>
        <w:t>本期产品配置债券价格</w:t>
      </w:r>
      <w:r>
        <w:rPr>
          <w:rFonts w:ascii="宋体" w:hAnsi="宋体"/>
          <w:color w:val="auto"/>
          <w:szCs w:val="21"/>
        </w:rPr>
        <w:t>整体波动不大</w:t>
      </w:r>
      <w:r>
        <w:rPr>
          <w:rFonts w:hint="eastAsia" w:ascii="宋体" w:hAnsi="宋体"/>
          <w:color w:val="auto"/>
          <w:szCs w:val="21"/>
        </w:rPr>
        <w:t>，</w:t>
      </w:r>
      <w:r>
        <w:rPr>
          <w:rFonts w:ascii="宋体" w:hAnsi="宋体"/>
          <w:color w:val="auto"/>
          <w:szCs w:val="21"/>
        </w:rPr>
        <w:t>在可控范围内</w:t>
      </w:r>
      <w:r>
        <w:rPr>
          <w:rFonts w:hint="eastAsia" w:ascii="宋体" w:hAnsi="宋体"/>
          <w:color w:val="auto"/>
          <w:szCs w:val="21"/>
        </w:rPr>
        <w:t>。</w:t>
      </w:r>
    </w:p>
    <w:p>
      <w:pPr>
        <w:spacing w:before="156" w:beforeLines="50" w:line="360" w:lineRule="exact"/>
        <w:rPr>
          <w:color w:val="auto"/>
        </w:rPr>
      </w:pPr>
    </w:p>
    <w:p>
      <w:pPr>
        <w:spacing w:before="156" w:beforeLines="50" w:line="360" w:lineRule="exact"/>
        <w:rPr>
          <w:b/>
          <w:color w:val="auto"/>
        </w:rPr>
      </w:pPr>
      <w:r>
        <w:rPr>
          <w:b/>
          <w:color w:val="auto"/>
        </w:rPr>
        <w:t>4.3</w:t>
      </w:r>
      <w:r>
        <w:rPr>
          <w:rFonts w:hint="eastAsia"/>
          <w:b/>
          <w:color w:val="auto"/>
        </w:rPr>
        <w:t>报告期内产品主要投资风险</w:t>
      </w:r>
    </w:p>
    <w:p>
      <w:pPr>
        <w:spacing w:before="156" w:beforeLines="50" w:after="156" w:afterLines="50" w:line="360" w:lineRule="auto"/>
        <w:jc w:val="left"/>
        <w:rPr>
          <w:rFonts w:ascii="宋体" w:hAnsi="宋体"/>
          <w:color w:val="auto"/>
          <w:szCs w:val="21"/>
        </w:rPr>
      </w:pPr>
      <w:r>
        <w:rPr>
          <w:rFonts w:hint="eastAsia" w:ascii="宋体" w:hAnsi="宋体"/>
          <w:color w:val="auto"/>
          <w:szCs w:val="21"/>
        </w:rPr>
        <w:tab/>
      </w:r>
      <w:r>
        <w:rPr>
          <w:rFonts w:hint="eastAsia" w:ascii="宋体" w:hAnsi="宋体"/>
          <w:color w:val="auto"/>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auto"/>
          <w:szCs w:val="21"/>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5</w:t>
      </w:r>
      <w:r>
        <w:rPr>
          <w:rFonts w:hint="eastAsia" w:asciiTheme="minorEastAsia" w:hAnsiTheme="minorEastAsia" w:eastAsiaTheme="minorEastAsia"/>
          <w:b/>
          <w:color w:val="auto"/>
          <w:sz w:val="24"/>
          <w:szCs w:val="24"/>
        </w:rPr>
        <w:t xml:space="preserve"> 投资组合报告</w:t>
      </w:r>
    </w:p>
    <w:p>
      <w:pPr>
        <w:spacing w:before="156" w:beforeLines="50" w:after="156" w:afterLines="50" w:line="360" w:lineRule="auto"/>
        <w:rPr>
          <w:b/>
          <w:color w:val="auto"/>
        </w:rPr>
      </w:pPr>
      <w:r>
        <w:rPr>
          <w:b/>
          <w:color w:val="auto"/>
        </w:rPr>
        <w:t>5.</w:t>
      </w:r>
      <w:r>
        <w:rPr>
          <w:rFonts w:hint="eastAsia"/>
          <w:b/>
          <w:color w:val="auto"/>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auto"/>
                <w:szCs w:val="21"/>
              </w:rPr>
            </w:pPr>
            <w:r>
              <w:rPr>
                <w:rFonts w:hint="eastAsia" w:ascii="宋体"/>
                <w:color w:val="auto"/>
                <w:szCs w:val="21"/>
              </w:rPr>
              <w:t>序号</w:t>
            </w:r>
          </w:p>
        </w:tc>
        <w:tc>
          <w:tcPr>
            <w:tcW w:w="4179" w:type="dxa"/>
            <w:shd w:val="clear" w:color="auto" w:fill="auto"/>
            <w:vAlign w:val="center"/>
          </w:tcPr>
          <w:p>
            <w:pPr>
              <w:jc w:val="center"/>
              <w:rPr>
                <w:color w:val="auto"/>
                <w:szCs w:val="21"/>
              </w:rPr>
            </w:pPr>
            <w:r>
              <w:rPr>
                <w:rFonts w:hint="eastAsia" w:ascii="宋体"/>
                <w:color w:val="auto"/>
                <w:szCs w:val="21"/>
              </w:rPr>
              <w:t>项目</w:t>
            </w:r>
          </w:p>
        </w:tc>
        <w:tc>
          <w:tcPr>
            <w:tcW w:w="2066" w:type="dxa"/>
            <w:shd w:val="clear" w:color="auto" w:fill="auto"/>
            <w:vAlign w:val="center"/>
          </w:tcPr>
          <w:p>
            <w:pPr>
              <w:jc w:val="center"/>
              <w:rPr>
                <w:color w:val="auto"/>
                <w:szCs w:val="21"/>
              </w:rPr>
            </w:pPr>
            <w:r>
              <w:rPr>
                <w:rFonts w:hint="eastAsia" w:ascii="宋体"/>
                <w:color w:val="auto"/>
                <w:szCs w:val="21"/>
              </w:rPr>
              <w:t>金额(元)</w:t>
            </w:r>
          </w:p>
        </w:tc>
        <w:tc>
          <w:tcPr>
            <w:tcW w:w="2069"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r>
              <w:rPr>
                <w:color w:val="auto"/>
              </w:rPr>
              <w:t>1</w:t>
            </w:r>
          </w:p>
        </w:tc>
        <w:tc>
          <w:tcPr>
            <w:tcW w:w="4179" w:type="dxa"/>
            <w:shd w:val="clear" w:color="auto" w:fill="auto"/>
          </w:tcPr>
          <w:p>
            <w:pPr>
              <w:jc w:val="left"/>
              <w:rPr>
                <w:rFonts w:ascii="宋体"/>
                <w:color w:val="auto"/>
                <w:szCs w:val="21"/>
              </w:rPr>
            </w:pPr>
            <w:r>
              <w:rPr>
                <w:color w:val="auto"/>
              </w:rPr>
              <w:t>方正富邦稳健2号集合资产管理计划</w:t>
            </w:r>
          </w:p>
        </w:tc>
        <w:tc>
          <w:tcPr>
            <w:tcW w:w="2066" w:type="dxa"/>
            <w:shd w:val="clear" w:color="auto" w:fill="auto"/>
          </w:tcPr>
          <w:p>
            <w:pPr>
              <w:jc w:val="right"/>
              <w:rPr>
                <w:rFonts w:ascii="宋体"/>
                <w:color w:val="auto"/>
                <w:szCs w:val="21"/>
              </w:rPr>
            </w:pPr>
            <w:r>
              <w:rPr>
                <w:color w:val="auto"/>
              </w:rPr>
              <w:t>5,073,621.25</w:t>
            </w:r>
          </w:p>
        </w:tc>
        <w:tc>
          <w:tcPr>
            <w:tcW w:w="2069" w:type="dxa"/>
            <w:shd w:val="clear" w:color="auto" w:fill="auto"/>
          </w:tcPr>
          <w:p>
            <w:pPr>
              <w:jc w:val="right"/>
              <w:rPr>
                <w:rFonts w:ascii="宋体"/>
                <w:color w:val="auto"/>
                <w:szCs w:val="21"/>
              </w:rPr>
            </w:pPr>
            <w:r>
              <w:rPr>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p>
        </w:tc>
        <w:tc>
          <w:tcPr>
            <w:tcW w:w="4179" w:type="dxa"/>
            <w:shd w:val="clear" w:color="auto" w:fill="auto"/>
          </w:tcPr>
          <w:p>
            <w:pPr>
              <w:jc w:val="left"/>
              <w:rPr>
                <w:rFonts w:ascii="宋体"/>
                <w:color w:val="auto"/>
                <w:szCs w:val="21"/>
              </w:rPr>
            </w:pPr>
            <w:r>
              <w:rPr>
                <w:color w:val="auto"/>
              </w:rPr>
              <w:t>合计</w:t>
            </w:r>
          </w:p>
        </w:tc>
        <w:tc>
          <w:tcPr>
            <w:tcW w:w="2066" w:type="dxa"/>
            <w:shd w:val="clear" w:color="auto" w:fill="auto"/>
          </w:tcPr>
          <w:p>
            <w:pPr>
              <w:jc w:val="right"/>
              <w:rPr>
                <w:rFonts w:ascii="宋体"/>
                <w:color w:val="auto"/>
                <w:szCs w:val="21"/>
              </w:rPr>
            </w:pPr>
            <w:r>
              <w:rPr>
                <w:color w:val="auto"/>
              </w:rPr>
              <w:t>5,073,621.25</w:t>
            </w:r>
          </w:p>
        </w:tc>
        <w:tc>
          <w:tcPr>
            <w:tcW w:w="2069" w:type="dxa"/>
            <w:shd w:val="clear" w:color="auto" w:fill="auto"/>
          </w:tcPr>
          <w:p>
            <w:pPr>
              <w:jc w:val="right"/>
              <w:rPr>
                <w:rFonts w:ascii="宋体"/>
                <w:color w:val="auto"/>
                <w:szCs w:val="21"/>
              </w:rPr>
            </w:pPr>
            <w:r>
              <w:rPr>
                <w:color w:val="auto"/>
              </w:rPr>
              <w:t>100.00</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w:t>
      </w:r>
      <w:r>
        <w:rPr>
          <w:rFonts w:hint="eastAsia"/>
          <w:b/>
          <w:color w:val="auto"/>
        </w:rPr>
        <w:t>2期末理财产品资产组合情况</w:t>
      </w:r>
    </w:p>
    <w:p>
      <w:pPr>
        <w:spacing w:before="156" w:beforeLines="50" w:after="156" w:afterLines="50" w:line="360" w:lineRule="auto"/>
        <w:rPr>
          <w:color w:val="auto"/>
        </w:rPr>
      </w:pPr>
      <w:r>
        <w:rPr>
          <w:color w:val="auto"/>
        </w:rPr>
        <w:t>5.</w:t>
      </w:r>
      <w:r>
        <w:rPr>
          <w:rFonts w:hint="eastAsia"/>
          <w:color w:val="auto"/>
        </w:rPr>
        <w:t>2</w:t>
      </w:r>
      <w:r>
        <w:rPr>
          <w:color w:val="auto"/>
        </w:rPr>
        <w:t>.1</w:t>
      </w:r>
      <w:r>
        <w:rPr>
          <w:rFonts w:hint="eastAsia"/>
          <w:color w:val="auto"/>
        </w:rPr>
        <w:t>期末理财产品直接投资资产组合情况</w:t>
      </w:r>
    </w:p>
    <w:p>
      <w:pPr>
        <w:ind w:right="105"/>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43.74</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5,073,621.25</w:t>
            </w:r>
          </w:p>
        </w:tc>
        <w:tc>
          <w:tcPr>
            <w:tcW w:w="2127" w:type="dxa"/>
            <w:shd w:val="clear" w:color="auto" w:fill="auto"/>
            <w:vAlign w:val="center"/>
          </w:tcPr>
          <w:p>
            <w:pPr>
              <w:jc w:val="right"/>
              <w:rPr>
                <w:rFonts w:ascii="宋体" w:hAnsi="宋体"/>
                <w:color w:val="auto"/>
              </w:rPr>
            </w:pPr>
            <w:r>
              <w:rPr>
                <w:rFonts w:hint="eastAsia" w:ascii="宋体" w:hAnsi="宋体"/>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5,073,664.99</w:t>
            </w:r>
          </w:p>
        </w:tc>
        <w:tc>
          <w:tcPr>
            <w:tcW w:w="2127" w:type="dxa"/>
            <w:shd w:val="clear" w:color="auto" w:fill="auto"/>
          </w:tcPr>
          <w:p>
            <w:pPr>
              <w:jc w:val="right"/>
              <w:rPr>
                <w:rFonts w:ascii="宋体" w:hAnsi="宋体"/>
                <w:color w:val="auto"/>
              </w:rPr>
            </w:pPr>
            <w:r>
              <w:rPr>
                <w:rFonts w:hint="eastAsia" w:ascii="宋体" w:hAnsi="宋体"/>
                <w:color w:val="auto"/>
              </w:rPr>
              <w:t>100.00</w:t>
            </w:r>
          </w:p>
        </w:tc>
      </w:tr>
    </w:tbl>
    <w:p>
      <w:pPr>
        <w:spacing w:before="156" w:beforeLines="50" w:after="156" w:afterLines="50" w:line="360" w:lineRule="auto"/>
        <w:rPr>
          <w:color w:val="auto"/>
        </w:rPr>
      </w:pPr>
    </w:p>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r>
        <w:rPr>
          <w:color w:val="auto"/>
        </w:rPr>
        <w:t>5.</w:t>
      </w:r>
      <w:r>
        <w:rPr>
          <w:rFonts w:hint="eastAsia"/>
          <w:color w:val="auto"/>
        </w:rPr>
        <w:t>2</w:t>
      </w:r>
      <w:r>
        <w:rPr>
          <w:color w:val="auto"/>
        </w:rPr>
        <w:t>.2</w:t>
      </w:r>
      <w:r>
        <w:rPr>
          <w:rFonts w:hint="eastAsia"/>
          <w:color w:val="auto"/>
        </w:rPr>
        <w:t>期末理财产品间接投资资产组合情况</w:t>
      </w:r>
    </w:p>
    <w:p>
      <w:pPr>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4,905,945.14</w:t>
            </w:r>
          </w:p>
        </w:tc>
        <w:tc>
          <w:tcPr>
            <w:tcW w:w="2127" w:type="dxa"/>
            <w:shd w:val="clear" w:color="auto" w:fill="auto"/>
            <w:vAlign w:val="center"/>
          </w:tcPr>
          <w:p>
            <w:pPr>
              <w:jc w:val="right"/>
              <w:rPr>
                <w:rFonts w:ascii="宋体" w:hAnsi="宋体"/>
                <w:color w:val="auto"/>
              </w:rPr>
            </w:pPr>
            <w:r>
              <w:rPr>
                <w:rFonts w:hint="eastAsia" w:ascii="宋体" w:hAnsi="宋体"/>
                <w:color w:val="auto"/>
              </w:rPr>
              <w:t>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4,905,945.14</w:t>
            </w:r>
          </w:p>
        </w:tc>
        <w:tc>
          <w:tcPr>
            <w:tcW w:w="2127" w:type="dxa"/>
            <w:shd w:val="clear" w:color="auto" w:fill="auto"/>
            <w:vAlign w:val="center"/>
          </w:tcPr>
          <w:p>
            <w:pPr>
              <w:jc w:val="right"/>
              <w:rPr>
                <w:rFonts w:ascii="宋体" w:hAnsi="宋体"/>
                <w:color w:val="auto"/>
              </w:rPr>
            </w:pPr>
            <w:r>
              <w:rPr>
                <w:rFonts w:hint="eastAsia" w:ascii="宋体" w:hAnsi="宋体"/>
                <w:color w:val="auto"/>
              </w:rPr>
              <w:t>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155,774.30</w:t>
            </w:r>
          </w:p>
        </w:tc>
        <w:tc>
          <w:tcPr>
            <w:tcW w:w="2127" w:type="dxa"/>
            <w:shd w:val="clear" w:color="auto" w:fill="auto"/>
            <w:vAlign w:val="center"/>
          </w:tcPr>
          <w:p>
            <w:pPr>
              <w:jc w:val="right"/>
              <w:rPr>
                <w:rFonts w:ascii="宋体" w:hAnsi="宋体"/>
                <w:color w:val="auto"/>
              </w:rPr>
            </w:pPr>
            <w:r>
              <w:rPr>
                <w:rFonts w:hint="eastAsia" w:ascii="宋体" w:hAnsi="宋体"/>
                <w:color w:val="auto"/>
              </w:rPr>
              <w:t>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8,994.61</w:t>
            </w:r>
          </w:p>
        </w:tc>
        <w:tc>
          <w:tcPr>
            <w:tcW w:w="2127" w:type="dxa"/>
            <w:shd w:val="clear" w:color="auto" w:fill="auto"/>
            <w:vAlign w:val="center"/>
          </w:tcPr>
          <w:p>
            <w:pPr>
              <w:jc w:val="right"/>
              <w:rPr>
                <w:rFonts w:ascii="宋体" w:hAnsi="宋体"/>
                <w:color w:val="auto"/>
              </w:rPr>
            </w:pPr>
            <w:r>
              <w:rPr>
                <w:rFonts w:hint="eastAsia" w:ascii="宋体" w:hAnsi="宋体"/>
                <w:color w:val="auto"/>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7,816.43</w:t>
            </w:r>
          </w:p>
        </w:tc>
        <w:tc>
          <w:tcPr>
            <w:tcW w:w="2127" w:type="dxa"/>
            <w:shd w:val="clear" w:color="auto" w:fill="auto"/>
            <w:vAlign w:val="center"/>
          </w:tcPr>
          <w:p>
            <w:pPr>
              <w:jc w:val="right"/>
              <w:rPr>
                <w:rFonts w:ascii="宋体" w:hAnsi="宋体"/>
                <w:color w:val="auto"/>
              </w:rPr>
            </w:pPr>
            <w:r>
              <w:rPr>
                <w:rFonts w:hint="eastAsia" w:ascii="宋体" w:hAnsi="宋体"/>
                <w:color w:val="auto"/>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5,078,530.48</w:t>
            </w:r>
          </w:p>
        </w:tc>
        <w:tc>
          <w:tcPr>
            <w:tcW w:w="2127" w:type="dxa"/>
            <w:shd w:val="clear" w:color="auto" w:fill="auto"/>
          </w:tcPr>
          <w:p>
            <w:pPr>
              <w:jc w:val="right"/>
              <w:rPr>
                <w:rFonts w:ascii="宋体" w:hAnsi="宋体"/>
                <w:color w:val="auto"/>
              </w:rPr>
            </w:pPr>
            <w:r>
              <w:rPr>
                <w:rFonts w:hint="eastAsia" w:ascii="宋体" w:hAnsi="宋体"/>
                <w:color w:val="auto"/>
              </w:rPr>
              <w:t>100.10</w:t>
            </w:r>
          </w:p>
        </w:tc>
      </w:tr>
    </w:tbl>
    <w:p>
      <w:pPr>
        <w:spacing w:before="156" w:beforeLines="50" w:after="156" w:afterLines="50" w:line="360" w:lineRule="auto"/>
        <w:rPr>
          <w:color w:val="auto"/>
        </w:rPr>
      </w:pPr>
    </w:p>
    <w:p>
      <w:pPr>
        <w:spacing w:before="156" w:beforeLines="50" w:after="156" w:afterLines="50" w:line="360" w:lineRule="auto"/>
        <w:rPr>
          <w:color w:val="auto"/>
        </w:rPr>
      </w:pP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color w:val="auto"/>
        </w:rPr>
      </w:pPr>
      <w:r>
        <w:rPr>
          <w:color w:val="auto"/>
        </w:rPr>
        <w:t>5.2.</w:t>
      </w:r>
      <w:r>
        <w:rPr>
          <w:rFonts w:hint="eastAsia"/>
          <w:color w:val="auto"/>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146"/>
        <w:gridCol w:w="3994"/>
        <w:gridCol w:w="200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1146" w:type="dxa"/>
            <w:shd w:val="clear" w:color="auto" w:fill="auto"/>
            <w:vAlign w:val="center"/>
          </w:tcPr>
          <w:p>
            <w:pPr>
              <w:jc w:val="center"/>
              <w:rPr>
                <w:color w:val="auto"/>
                <w:szCs w:val="21"/>
              </w:rPr>
            </w:pPr>
            <w:r>
              <w:rPr>
                <w:rFonts w:hint="eastAsia" w:ascii="宋体"/>
                <w:color w:val="auto"/>
                <w:szCs w:val="21"/>
              </w:rPr>
              <w:t>序号</w:t>
            </w:r>
          </w:p>
        </w:tc>
        <w:tc>
          <w:tcPr>
            <w:tcW w:w="3994" w:type="dxa"/>
            <w:shd w:val="clear" w:color="auto" w:fill="auto"/>
            <w:vAlign w:val="center"/>
          </w:tcPr>
          <w:p>
            <w:pPr>
              <w:jc w:val="center"/>
              <w:rPr>
                <w:color w:val="auto"/>
                <w:szCs w:val="21"/>
              </w:rPr>
            </w:pPr>
            <w:r>
              <w:rPr>
                <w:rFonts w:hint="eastAsia" w:ascii="宋体"/>
                <w:color w:val="auto"/>
                <w:szCs w:val="21"/>
              </w:rPr>
              <w:t>项目</w:t>
            </w:r>
          </w:p>
        </w:tc>
        <w:tc>
          <w:tcPr>
            <w:tcW w:w="2006" w:type="dxa"/>
            <w:shd w:val="clear" w:color="auto" w:fill="auto"/>
            <w:vAlign w:val="center"/>
          </w:tcPr>
          <w:p>
            <w:pPr>
              <w:jc w:val="center"/>
              <w:rPr>
                <w:color w:val="auto"/>
                <w:szCs w:val="21"/>
              </w:rPr>
            </w:pPr>
            <w:r>
              <w:rPr>
                <w:rFonts w:hint="eastAsia" w:ascii="宋体"/>
                <w:color w:val="auto"/>
                <w:szCs w:val="21"/>
              </w:rPr>
              <w:t>金额(元)</w:t>
            </w:r>
          </w:p>
        </w:tc>
        <w:tc>
          <w:tcPr>
            <w:tcW w:w="2046"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1</w:t>
            </w:r>
          </w:p>
        </w:tc>
        <w:tc>
          <w:tcPr>
            <w:tcW w:w="3994" w:type="dxa"/>
            <w:shd w:val="clear" w:color="auto" w:fill="auto"/>
          </w:tcPr>
          <w:p>
            <w:pPr>
              <w:jc w:val="left"/>
              <w:rPr>
                <w:rFonts w:ascii="宋体"/>
                <w:color w:val="auto"/>
                <w:szCs w:val="21"/>
              </w:rPr>
            </w:pPr>
            <w:r>
              <w:rPr>
                <w:color w:val="auto"/>
              </w:rPr>
              <w:t>20遵资01</w:t>
            </w:r>
          </w:p>
        </w:tc>
        <w:tc>
          <w:tcPr>
            <w:tcW w:w="2006" w:type="dxa"/>
            <w:shd w:val="clear" w:color="auto" w:fill="auto"/>
          </w:tcPr>
          <w:p>
            <w:pPr>
              <w:jc w:val="right"/>
              <w:rPr>
                <w:rFonts w:ascii="宋体"/>
                <w:color w:val="auto"/>
                <w:szCs w:val="21"/>
              </w:rPr>
            </w:pPr>
            <w:r>
              <w:rPr>
                <w:color w:val="auto"/>
              </w:rPr>
              <w:t>362,656.78</w:t>
            </w:r>
          </w:p>
        </w:tc>
        <w:tc>
          <w:tcPr>
            <w:tcW w:w="2046" w:type="dxa"/>
            <w:shd w:val="clear" w:color="auto" w:fill="auto"/>
          </w:tcPr>
          <w:p>
            <w:pPr>
              <w:jc w:val="right"/>
              <w:rPr>
                <w:rFonts w:ascii="宋体"/>
                <w:color w:val="auto"/>
                <w:szCs w:val="21"/>
              </w:rPr>
            </w:pPr>
            <w:r>
              <w:rPr>
                <w:color w:val="auto"/>
              </w:rPr>
              <w:t>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2</w:t>
            </w:r>
          </w:p>
        </w:tc>
        <w:tc>
          <w:tcPr>
            <w:tcW w:w="3994" w:type="dxa"/>
            <w:shd w:val="clear" w:color="auto" w:fill="auto"/>
          </w:tcPr>
          <w:p>
            <w:pPr>
              <w:jc w:val="left"/>
              <w:rPr>
                <w:rFonts w:ascii="宋体"/>
                <w:color w:val="auto"/>
                <w:szCs w:val="21"/>
              </w:rPr>
            </w:pPr>
            <w:r>
              <w:rPr>
                <w:color w:val="auto"/>
              </w:rPr>
              <w:t>21安工01</w:t>
            </w:r>
          </w:p>
        </w:tc>
        <w:tc>
          <w:tcPr>
            <w:tcW w:w="2006" w:type="dxa"/>
            <w:shd w:val="clear" w:color="auto" w:fill="auto"/>
          </w:tcPr>
          <w:p>
            <w:pPr>
              <w:jc w:val="right"/>
              <w:rPr>
                <w:rFonts w:ascii="宋体"/>
                <w:color w:val="auto"/>
                <w:szCs w:val="21"/>
              </w:rPr>
            </w:pPr>
            <w:r>
              <w:rPr>
                <w:color w:val="auto"/>
              </w:rPr>
              <w:t>243,434.36</w:t>
            </w:r>
          </w:p>
        </w:tc>
        <w:tc>
          <w:tcPr>
            <w:tcW w:w="2046" w:type="dxa"/>
            <w:shd w:val="clear" w:color="auto" w:fill="auto"/>
          </w:tcPr>
          <w:p>
            <w:pPr>
              <w:jc w:val="right"/>
              <w:rPr>
                <w:rFonts w:ascii="宋体"/>
                <w:color w:val="auto"/>
                <w:szCs w:val="21"/>
              </w:rPr>
            </w:pPr>
            <w:r>
              <w:rPr>
                <w:color w:val="auto"/>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3</w:t>
            </w:r>
          </w:p>
        </w:tc>
        <w:tc>
          <w:tcPr>
            <w:tcW w:w="3994" w:type="dxa"/>
            <w:shd w:val="clear" w:color="auto" w:fill="auto"/>
          </w:tcPr>
          <w:p>
            <w:pPr>
              <w:jc w:val="left"/>
              <w:rPr>
                <w:rFonts w:ascii="宋体"/>
                <w:color w:val="auto"/>
                <w:szCs w:val="21"/>
              </w:rPr>
            </w:pPr>
            <w:r>
              <w:rPr>
                <w:color w:val="auto"/>
              </w:rPr>
              <w:t>20凯文01</w:t>
            </w:r>
          </w:p>
        </w:tc>
        <w:tc>
          <w:tcPr>
            <w:tcW w:w="2006" w:type="dxa"/>
            <w:shd w:val="clear" w:color="auto" w:fill="auto"/>
          </w:tcPr>
          <w:p>
            <w:pPr>
              <w:jc w:val="right"/>
              <w:rPr>
                <w:rFonts w:ascii="宋体"/>
                <w:color w:val="auto"/>
                <w:szCs w:val="21"/>
              </w:rPr>
            </w:pPr>
            <w:r>
              <w:rPr>
                <w:color w:val="auto"/>
              </w:rPr>
              <w:t>202,728.78</w:t>
            </w:r>
          </w:p>
        </w:tc>
        <w:tc>
          <w:tcPr>
            <w:tcW w:w="2046" w:type="dxa"/>
            <w:shd w:val="clear" w:color="auto" w:fill="auto"/>
          </w:tcPr>
          <w:p>
            <w:pPr>
              <w:jc w:val="right"/>
              <w:rPr>
                <w:rFonts w:ascii="宋体"/>
                <w:color w:val="auto"/>
                <w:szCs w:val="21"/>
              </w:rPr>
            </w:pPr>
            <w:r>
              <w:rPr>
                <w:color w:val="auto"/>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4</w:t>
            </w:r>
          </w:p>
        </w:tc>
        <w:tc>
          <w:tcPr>
            <w:tcW w:w="3994" w:type="dxa"/>
            <w:shd w:val="clear" w:color="auto" w:fill="auto"/>
          </w:tcPr>
          <w:p>
            <w:pPr>
              <w:jc w:val="left"/>
              <w:rPr>
                <w:rFonts w:ascii="宋体"/>
                <w:color w:val="auto"/>
                <w:szCs w:val="21"/>
              </w:rPr>
            </w:pPr>
            <w:r>
              <w:rPr>
                <w:color w:val="auto"/>
              </w:rPr>
              <w:t>22国开03</w:t>
            </w:r>
          </w:p>
        </w:tc>
        <w:tc>
          <w:tcPr>
            <w:tcW w:w="2006" w:type="dxa"/>
            <w:shd w:val="clear" w:color="auto" w:fill="auto"/>
          </w:tcPr>
          <w:p>
            <w:pPr>
              <w:jc w:val="right"/>
              <w:rPr>
                <w:rFonts w:ascii="宋体"/>
                <w:color w:val="auto"/>
                <w:szCs w:val="21"/>
              </w:rPr>
            </w:pPr>
            <w:r>
              <w:rPr>
                <w:color w:val="auto"/>
              </w:rPr>
              <w:t>199,398.72</w:t>
            </w:r>
          </w:p>
        </w:tc>
        <w:tc>
          <w:tcPr>
            <w:tcW w:w="2046" w:type="dxa"/>
            <w:shd w:val="clear" w:color="auto" w:fill="auto"/>
          </w:tcPr>
          <w:p>
            <w:pPr>
              <w:jc w:val="right"/>
              <w:rPr>
                <w:rFonts w:ascii="宋体"/>
                <w:color w:val="auto"/>
                <w:szCs w:val="21"/>
              </w:rPr>
            </w:pPr>
            <w:r>
              <w:rPr>
                <w:color w:val="auto"/>
              </w:rPr>
              <w:t>3.93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5</w:t>
            </w:r>
          </w:p>
        </w:tc>
        <w:tc>
          <w:tcPr>
            <w:tcW w:w="3994" w:type="dxa"/>
            <w:shd w:val="clear" w:color="auto" w:fill="auto"/>
          </w:tcPr>
          <w:p>
            <w:pPr>
              <w:jc w:val="left"/>
              <w:rPr>
                <w:rFonts w:ascii="宋体"/>
                <w:color w:val="auto"/>
                <w:szCs w:val="21"/>
              </w:rPr>
            </w:pPr>
            <w:r>
              <w:rPr>
                <w:color w:val="auto"/>
              </w:rPr>
              <w:t>20铜开01</w:t>
            </w:r>
          </w:p>
        </w:tc>
        <w:tc>
          <w:tcPr>
            <w:tcW w:w="2006" w:type="dxa"/>
            <w:shd w:val="clear" w:color="auto" w:fill="auto"/>
          </w:tcPr>
          <w:p>
            <w:pPr>
              <w:jc w:val="right"/>
              <w:rPr>
                <w:rFonts w:ascii="宋体"/>
                <w:color w:val="auto"/>
                <w:szCs w:val="21"/>
              </w:rPr>
            </w:pPr>
            <w:r>
              <w:rPr>
                <w:color w:val="auto"/>
              </w:rPr>
              <w:t>166,894.93</w:t>
            </w:r>
          </w:p>
        </w:tc>
        <w:tc>
          <w:tcPr>
            <w:tcW w:w="2046" w:type="dxa"/>
            <w:shd w:val="clear" w:color="auto" w:fill="auto"/>
          </w:tcPr>
          <w:p>
            <w:pPr>
              <w:jc w:val="right"/>
              <w:rPr>
                <w:rFonts w:ascii="宋体"/>
                <w:color w:val="auto"/>
                <w:szCs w:val="21"/>
              </w:rPr>
            </w:pPr>
            <w:r>
              <w:rPr>
                <w:color w:val="auto"/>
              </w:rPr>
              <w:t>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6</w:t>
            </w:r>
          </w:p>
        </w:tc>
        <w:tc>
          <w:tcPr>
            <w:tcW w:w="3994" w:type="dxa"/>
            <w:shd w:val="clear" w:color="auto" w:fill="auto"/>
          </w:tcPr>
          <w:p>
            <w:pPr>
              <w:jc w:val="left"/>
              <w:rPr>
                <w:rFonts w:ascii="宋体"/>
                <w:color w:val="auto"/>
                <w:szCs w:val="21"/>
              </w:rPr>
            </w:pPr>
            <w:r>
              <w:rPr>
                <w:color w:val="auto"/>
              </w:rPr>
              <w:t>19贵电01</w:t>
            </w:r>
          </w:p>
        </w:tc>
        <w:tc>
          <w:tcPr>
            <w:tcW w:w="2006" w:type="dxa"/>
            <w:shd w:val="clear" w:color="auto" w:fill="auto"/>
          </w:tcPr>
          <w:p>
            <w:pPr>
              <w:jc w:val="right"/>
              <w:rPr>
                <w:rFonts w:ascii="宋体"/>
                <w:color w:val="auto"/>
                <w:szCs w:val="21"/>
              </w:rPr>
            </w:pPr>
            <w:r>
              <w:rPr>
                <w:color w:val="auto"/>
              </w:rPr>
              <w:t>156,084.90</w:t>
            </w:r>
          </w:p>
        </w:tc>
        <w:tc>
          <w:tcPr>
            <w:tcW w:w="2046" w:type="dxa"/>
            <w:shd w:val="clear" w:color="auto" w:fill="auto"/>
          </w:tcPr>
          <w:p>
            <w:pPr>
              <w:jc w:val="right"/>
              <w:rPr>
                <w:rFonts w:ascii="宋体"/>
                <w:color w:val="auto"/>
                <w:szCs w:val="21"/>
              </w:rPr>
            </w:pPr>
            <w:r>
              <w:rPr>
                <w:color w:val="auto"/>
              </w:rPr>
              <w:t>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7</w:t>
            </w:r>
          </w:p>
        </w:tc>
        <w:tc>
          <w:tcPr>
            <w:tcW w:w="3994" w:type="dxa"/>
            <w:shd w:val="clear" w:color="auto" w:fill="auto"/>
          </w:tcPr>
          <w:p>
            <w:pPr>
              <w:jc w:val="left"/>
              <w:rPr>
                <w:rFonts w:ascii="宋体"/>
                <w:color w:val="auto"/>
                <w:szCs w:val="21"/>
              </w:rPr>
            </w:pPr>
            <w:r>
              <w:rPr>
                <w:color w:val="auto"/>
              </w:rPr>
              <w:t>22附息国债18</w:t>
            </w:r>
          </w:p>
        </w:tc>
        <w:tc>
          <w:tcPr>
            <w:tcW w:w="2006" w:type="dxa"/>
            <w:shd w:val="clear" w:color="auto" w:fill="auto"/>
          </w:tcPr>
          <w:p>
            <w:pPr>
              <w:jc w:val="right"/>
              <w:rPr>
                <w:rFonts w:ascii="宋体"/>
                <w:color w:val="auto"/>
                <w:szCs w:val="21"/>
              </w:rPr>
            </w:pPr>
            <w:r>
              <w:rPr>
                <w:color w:val="auto"/>
              </w:rPr>
              <w:t>154,105.88</w:t>
            </w:r>
          </w:p>
        </w:tc>
        <w:tc>
          <w:tcPr>
            <w:tcW w:w="2046" w:type="dxa"/>
            <w:shd w:val="clear" w:color="auto" w:fill="auto"/>
          </w:tcPr>
          <w:p>
            <w:pPr>
              <w:jc w:val="right"/>
              <w:rPr>
                <w:rFonts w:ascii="宋体"/>
                <w:color w:val="auto"/>
                <w:szCs w:val="21"/>
              </w:rPr>
            </w:pPr>
            <w:r>
              <w:rPr>
                <w:color w:val="auto"/>
              </w:rPr>
              <w:t>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8</w:t>
            </w:r>
          </w:p>
        </w:tc>
        <w:tc>
          <w:tcPr>
            <w:tcW w:w="3994" w:type="dxa"/>
            <w:shd w:val="clear" w:color="auto" w:fill="auto"/>
          </w:tcPr>
          <w:p>
            <w:pPr>
              <w:jc w:val="left"/>
              <w:rPr>
                <w:rFonts w:ascii="宋体"/>
                <w:color w:val="auto"/>
                <w:szCs w:val="21"/>
              </w:rPr>
            </w:pPr>
            <w:r>
              <w:rPr>
                <w:color w:val="auto"/>
              </w:rPr>
              <w:t>20黔西南</w:t>
            </w:r>
          </w:p>
        </w:tc>
        <w:tc>
          <w:tcPr>
            <w:tcW w:w="2006" w:type="dxa"/>
            <w:shd w:val="clear" w:color="auto" w:fill="auto"/>
          </w:tcPr>
          <w:p>
            <w:pPr>
              <w:jc w:val="right"/>
              <w:rPr>
                <w:rFonts w:ascii="宋体"/>
                <w:color w:val="auto"/>
                <w:szCs w:val="21"/>
              </w:rPr>
            </w:pPr>
            <w:r>
              <w:rPr>
                <w:color w:val="auto"/>
              </w:rPr>
              <w:t>150,857.85</w:t>
            </w:r>
          </w:p>
        </w:tc>
        <w:tc>
          <w:tcPr>
            <w:tcW w:w="2046" w:type="dxa"/>
            <w:shd w:val="clear" w:color="auto" w:fill="auto"/>
          </w:tcPr>
          <w:p>
            <w:pPr>
              <w:jc w:val="right"/>
              <w:rPr>
                <w:rFonts w:ascii="宋体"/>
                <w:color w:val="auto"/>
                <w:szCs w:val="21"/>
              </w:rPr>
            </w:pPr>
            <w:r>
              <w:rPr>
                <w:color w:val="auto"/>
              </w:rPr>
              <w:t>2.97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9</w:t>
            </w:r>
          </w:p>
        </w:tc>
        <w:tc>
          <w:tcPr>
            <w:tcW w:w="3994" w:type="dxa"/>
            <w:shd w:val="clear" w:color="auto" w:fill="auto"/>
          </w:tcPr>
          <w:p>
            <w:pPr>
              <w:jc w:val="left"/>
              <w:rPr>
                <w:rFonts w:ascii="宋体"/>
                <w:color w:val="auto"/>
                <w:szCs w:val="21"/>
              </w:rPr>
            </w:pPr>
            <w:r>
              <w:rPr>
                <w:color w:val="auto"/>
              </w:rPr>
              <w:t>20贵安01</w:t>
            </w:r>
          </w:p>
        </w:tc>
        <w:tc>
          <w:tcPr>
            <w:tcW w:w="2006" w:type="dxa"/>
            <w:shd w:val="clear" w:color="auto" w:fill="auto"/>
          </w:tcPr>
          <w:p>
            <w:pPr>
              <w:jc w:val="right"/>
              <w:rPr>
                <w:rFonts w:ascii="宋体"/>
                <w:color w:val="auto"/>
                <w:szCs w:val="21"/>
              </w:rPr>
            </w:pPr>
            <w:r>
              <w:rPr>
                <w:color w:val="auto"/>
              </w:rPr>
              <w:t>143,988.62</w:t>
            </w:r>
          </w:p>
        </w:tc>
        <w:tc>
          <w:tcPr>
            <w:tcW w:w="2046" w:type="dxa"/>
            <w:shd w:val="clear" w:color="auto" w:fill="auto"/>
          </w:tcPr>
          <w:p>
            <w:pPr>
              <w:jc w:val="right"/>
              <w:rPr>
                <w:rFonts w:ascii="宋体"/>
                <w:color w:val="auto"/>
                <w:szCs w:val="21"/>
              </w:rPr>
            </w:pPr>
            <w:r>
              <w:rPr>
                <w:color w:val="auto"/>
              </w:rPr>
              <w:t>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10</w:t>
            </w:r>
          </w:p>
        </w:tc>
        <w:tc>
          <w:tcPr>
            <w:tcW w:w="3994" w:type="dxa"/>
            <w:shd w:val="clear" w:color="auto" w:fill="auto"/>
          </w:tcPr>
          <w:p>
            <w:pPr>
              <w:jc w:val="left"/>
              <w:rPr>
                <w:rFonts w:ascii="宋体"/>
                <w:color w:val="auto"/>
                <w:szCs w:val="21"/>
              </w:rPr>
            </w:pPr>
            <w:r>
              <w:rPr>
                <w:color w:val="auto"/>
              </w:rPr>
              <w:t>21安投01</w:t>
            </w:r>
          </w:p>
        </w:tc>
        <w:tc>
          <w:tcPr>
            <w:tcW w:w="2006" w:type="dxa"/>
            <w:shd w:val="clear" w:color="auto" w:fill="auto"/>
          </w:tcPr>
          <w:p>
            <w:pPr>
              <w:jc w:val="right"/>
              <w:rPr>
                <w:rFonts w:ascii="宋体"/>
                <w:color w:val="auto"/>
                <w:szCs w:val="21"/>
              </w:rPr>
            </w:pPr>
            <w:r>
              <w:rPr>
                <w:color w:val="auto"/>
              </w:rPr>
              <w:t>141,835.64</w:t>
            </w:r>
          </w:p>
        </w:tc>
        <w:tc>
          <w:tcPr>
            <w:tcW w:w="2046" w:type="dxa"/>
            <w:shd w:val="clear" w:color="auto" w:fill="auto"/>
          </w:tcPr>
          <w:p>
            <w:pPr>
              <w:jc w:val="right"/>
              <w:rPr>
                <w:rFonts w:ascii="宋体"/>
                <w:color w:val="auto"/>
                <w:szCs w:val="21"/>
              </w:rPr>
            </w:pPr>
            <w:r>
              <w:rPr>
                <w:color w:val="auto"/>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p>
        </w:tc>
        <w:tc>
          <w:tcPr>
            <w:tcW w:w="3994" w:type="dxa"/>
            <w:shd w:val="clear" w:color="auto" w:fill="auto"/>
          </w:tcPr>
          <w:p>
            <w:pPr>
              <w:jc w:val="left"/>
              <w:rPr>
                <w:rFonts w:ascii="宋体"/>
                <w:color w:val="auto"/>
                <w:szCs w:val="21"/>
              </w:rPr>
            </w:pPr>
            <w:r>
              <w:rPr>
                <w:color w:val="auto"/>
              </w:rPr>
              <w:t>合计</w:t>
            </w:r>
          </w:p>
        </w:tc>
        <w:tc>
          <w:tcPr>
            <w:tcW w:w="2006" w:type="dxa"/>
            <w:shd w:val="clear" w:color="auto" w:fill="auto"/>
          </w:tcPr>
          <w:p>
            <w:pPr>
              <w:jc w:val="right"/>
              <w:rPr>
                <w:rFonts w:ascii="宋体"/>
                <w:color w:val="auto"/>
                <w:szCs w:val="21"/>
              </w:rPr>
            </w:pPr>
            <w:r>
              <w:rPr>
                <w:color w:val="auto"/>
              </w:rPr>
              <w:t>1,921,986.47</w:t>
            </w:r>
          </w:p>
        </w:tc>
        <w:tc>
          <w:tcPr>
            <w:tcW w:w="2046" w:type="dxa"/>
            <w:shd w:val="clear" w:color="auto" w:fill="auto"/>
          </w:tcPr>
          <w:p>
            <w:pPr>
              <w:jc w:val="right"/>
              <w:rPr>
                <w:rFonts w:ascii="宋体"/>
                <w:color w:val="auto"/>
                <w:szCs w:val="21"/>
              </w:rPr>
            </w:pPr>
            <w:r>
              <w:rPr>
                <w:color w:val="auto"/>
              </w:rPr>
              <w:t>37.88</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b/>
          <w:color w:val="auto"/>
        </w:rPr>
      </w:pPr>
      <w:r>
        <w:rPr>
          <w:b/>
          <w:color w:val="auto"/>
        </w:rPr>
        <w:t>5.3</w:t>
      </w:r>
      <w:r>
        <w:rPr>
          <w:rFonts w:hint="eastAsia"/>
          <w:b/>
          <w:color w:val="auto"/>
        </w:rPr>
        <w:t>所投资非标准化债权类资产情况</w:t>
      </w:r>
    </w:p>
    <w:p>
      <w:pPr>
        <w:spacing w:before="156" w:beforeLines="50" w:after="156" w:afterLines="50" w:line="360" w:lineRule="auto"/>
        <w:rPr>
          <w:rFonts w:ascii="宋体" w:hAnsi="宋体"/>
          <w:color w:val="auto"/>
          <w:szCs w:val="21"/>
        </w:rPr>
      </w:pPr>
      <w:r>
        <w:rPr>
          <w:rFonts w:hint="eastAsia" w:ascii="宋体" w:hAnsi="宋体"/>
          <w:color w:val="auto"/>
          <w:szCs w:val="21"/>
        </w:rPr>
        <w:tab/>
      </w:r>
      <w:r>
        <w:rPr>
          <w:rFonts w:ascii="宋体" w:hAnsi="宋体"/>
          <w:color w:val="auto"/>
          <w:szCs w:val="21"/>
        </w:rPr>
        <w:t>本报告期内，本理财计划未投资非标准化债权类资产。</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5.4</w:t>
      </w:r>
      <w:r>
        <w:rPr>
          <w:rFonts w:hint="eastAsia"/>
          <w:b/>
          <w:color w:val="auto"/>
        </w:rPr>
        <w:t>投资组合的流动性风险分析</w:t>
      </w:r>
    </w:p>
    <w:p>
      <w:pPr>
        <w:spacing w:before="156" w:beforeLines="50" w:after="156" w:afterLines="50" w:line="360" w:lineRule="atLeast"/>
        <w:ind w:firstLine="420" w:firstLineChars="200"/>
        <w:rPr>
          <w:rFonts w:ascii="宋体"/>
          <w:color w:val="auto"/>
        </w:rPr>
      </w:pPr>
      <w:r>
        <w:rPr>
          <w:rFonts w:hint="eastAsia" w:ascii="宋体"/>
          <w:color w:val="auto"/>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auto"/>
        </w:rPr>
      </w:pPr>
      <w:r>
        <w:rPr>
          <w:rFonts w:hint="eastAsia" w:ascii="宋体"/>
          <w:color w:val="auto"/>
        </w:rPr>
        <w:t xml:space="preserve"> </w:t>
      </w: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6</w:t>
      </w:r>
      <w:r>
        <w:rPr>
          <w:rFonts w:hint="eastAsia" w:asciiTheme="minorEastAsia" w:hAnsiTheme="minorEastAsia" w:eastAsiaTheme="minorEastAsia"/>
          <w:b/>
          <w:color w:val="auto"/>
          <w:sz w:val="24"/>
          <w:szCs w:val="24"/>
        </w:rPr>
        <w:t xml:space="preserve"> 关联交易情况说明</w:t>
      </w:r>
    </w:p>
    <w:p>
      <w:pPr>
        <w:rPr>
          <w:color w:val="auto"/>
        </w:rPr>
      </w:pPr>
      <w:r>
        <w:rPr>
          <w:rFonts w:hint="eastAsia" w:ascii="宋体"/>
          <w:color w:val="auto"/>
        </w:rPr>
        <w:tab/>
      </w:r>
      <w:r>
        <w:rPr>
          <w:rFonts w:hint="eastAsia" w:ascii="宋体"/>
          <w:color w:val="auto"/>
        </w:rPr>
        <w:t>本报告期内，本计划未发生关联交易。</w:t>
      </w:r>
    </w:p>
    <w:p>
      <w:pPr>
        <w:spacing w:line="360" w:lineRule="auto"/>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7</w:t>
      </w:r>
      <w:r>
        <w:rPr>
          <w:rFonts w:hint="eastAsia" w:asciiTheme="minorEastAsia" w:hAnsiTheme="minorEastAsia" w:eastAsiaTheme="minorEastAsia"/>
          <w:b/>
          <w:color w:val="auto"/>
          <w:sz w:val="24"/>
          <w:szCs w:val="24"/>
        </w:rPr>
        <w:t xml:space="preserve"> 影响投资者决策的其他重要信息</w:t>
      </w:r>
    </w:p>
    <w:p>
      <w:pPr>
        <w:spacing w:line="360" w:lineRule="auto"/>
        <w:rPr>
          <w:color w:val="auto"/>
        </w:rPr>
      </w:pPr>
      <w:r>
        <w:rPr>
          <w:color w:val="auto"/>
        </w:rPr>
        <w:t>7.1 影响投资者决策的其他重要信息</w:t>
      </w:r>
    </w:p>
    <w:p>
      <w:pPr>
        <w:spacing w:line="360" w:lineRule="auto"/>
        <w:rPr>
          <w:color w:val="auto"/>
        </w:rPr>
      </w:pPr>
      <w:r>
        <w:rPr>
          <w:color w:val="auto"/>
        </w:rPr>
        <w:t>无。</w:t>
      </w:r>
    </w:p>
    <w:p>
      <w:pPr>
        <w:spacing w:line="360" w:lineRule="auto"/>
        <w:rPr>
          <w:color w:val="auto"/>
        </w:rPr>
      </w:pPr>
    </w:p>
    <w:p>
      <w:pPr>
        <w:spacing w:line="360" w:lineRule="auto"/>
        <w:rPr>
          <w:color w:val="auto"/>
        </w:rPr>
      </w:pPr>
      <w:r>
        <w:rPr>
          <w:color w:val="auto"/>
        </w:rPr>
        <w:t>7.2其他事项。</w:t>
      </w:r>
    </w:p>
    <w:p>
      <w:pPr>
        <w:spacing w:line="360" w:lineRule="auto"/>
        <w:rPr>
          <w:color w:val="auto"/>
        </w:rPr>
      </w:pPr>
      <w:r>
        <w:rPr>
          <w:color w:val="auto"/>
        </w:rPr>
        <w:t>无。</w:t>
      </w: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8</w:t>
      </w:r>
      <w:r>
        <w:rPr>
          <w:rFonts w:hint="eastAsia" w:asciiTheme="minorEastAsia" w:hAnsiTheme="minorEastAsia" w:eastAsiaTheme="minorEastAsia"/>
          <w:b/>
          <w:color w:val="auto"/>
          <w:sz w:val="24"/>
          <w:szCs w:val="24"/>
        </w:rPr>
        <w:t xml:space="preserve"> 托管人报告</w:t>
      </w:r>
    </w:p>
    <w:p>
      <w:pPr>
        <w:spacing w:line="360" w:lineRule="auto"/>
        <w:ind w:right="-107" w:rightChars="-51" w:firstLine="420" w:firstLineChars="200"/>
        <w:jc w:val="left"/>
        <w:rPr>
          <w:rFonts w:ascii="宋体" w:hAnsi="宋体"/>
          <w:color w:val="auto"/>
          <w:szCs w:val="21"/>
        </w:rPr>
      </w:pPr>
      <w:r>
        <w:rPr>
          <w:rFonts w:hint="eastAsia" w:ascii="宋体" w:hAnsi="宋体"/>
          <w:color w:val="auto"/>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auto"/>
        </w:rPr>
      </w:pPr>
    </w:p>
    <w:p>
      <w:pPr>
        <w:spacing w:line="360" w:lineRule="auto"/>
        <w:rPr>
          <w:color w:val="auto"/>
        </w:rPr>
      </w:pPr>
    </w:p>
    <w:p>
      <w:pPr>
        <w:spacing w:line="360" w:lineRule="auto"/>
        <w:rPr>
          <w:color w:val="auto"/>
        </w:rPr>
      </w:pPr>
      <w:r>
        <w:rPr>
          <w:color w:val="auto"/>
        </w:rPr>
        <w:t>查阅方式网站：http://www.gynsh.com咨询电话：0851-88115057</w:t>
      </w:r>
    </w:p>
    <w:p>
      <w:pPr>
        <w:spacing w:line="360" w:lineRule="auto"/>
        <w:rPr>
          <w:color w:val="auto"/>
        </w:rPr>
      </w:pPr>
      <w:bookmarkStart w:id="13" w:name="_GoBack"/>
      <w:bookmarkEnd w:id="13"/>
    </w:p>
    <w:p>
      <w:pPr>
        <w:spacing w:line="360" w:lineRule="auto"/>
        <w:jc w:val="right"/>
        <w:rPr>
          <w:rFonts w:ascii="宋体" w:hAnsi="宋体"/>
          <w:color w:val="auto"/>
          <w:szCs w:val="21"/>
        </w:rPr>
      </w:pPr>
      <w:r>
        <w:rPr>
          <w:rFonts w:ascii="宋体" w:hAnsi="宋体"/>
          <w:color w:val="auto"/>
          <w:szCs w:val="21"/>
        </w:rPr>
        <w:t>贵阳农村商业银行股份有限公司</w:t>
      </w:r>
    </w:p>
    <w:p>
      <w:pPr>
        <w:spacing w:line="360" w:lineRule="auto"/>
        <w:jc w:val="right"/>
        <w:rPr>
          <w:rFonts w:ascii="宋体" w:hAnsi="宋体"/>
          <w:color w:val="auto"/>
          <w:szCs w:val="21"/>
        </w:rPr>
      </w:pPr>
      <w:bookmarkStart w:id="11" w:name="OLE_LINK11"/>
      <w:bookmarkStart w:id="12" w:name="OLE_LINK10"/>
      <w:r>
        <w:rPr>
          <w:rFonts w:ascii="宋体" w:hAnsi="宋体"/>
          <w:color w:val="auto"/>
          <w:szCs w:val="21"/>
        </w:rPr>
        <w:t>2023年01月15日</w:t>
      </w:r>
      <w:bookmarkEnd w:id="11"/>
      <w:bookmarkEnd w:id="12"/>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dit="readOnly" w:enforcement="1" w:cryptProviderType="rsaFull" w:cryptAlgorithmClass="hash" w:cryptAlgorithmType="typeAny" w:cryptAlgorithmSid="4" w:cryptSpinCount="0" w:hash="iy2C4eBmFVfr35uxHh2v6Jn9w3M=" w:salt="bqBqK1FB/cIr5N3AOHsA5g=="/>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67423"/>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0EA8"/>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00E"/>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2CFB"/>
    <w:rsid w:val="00587297"/>
    <w:rsid w:val="005A3474"/>
    <w:rsid w:val="005C161C"/>
    <w:rsid w:val="005D6CCB"/>
    <w:rsid w:val="005D790B"/>
    <w:rsid w:val="005F2112"/>
    <w:rsid w:val="005F441A"/>
    <w:rsid w:val="005F62A5"/>
    <w:rsid w:val="0063629A"/>
    <w:rsid w:val="00636BDB"/>
    <w:rsid w:val="00645054"/>
    <w:rsid w:val="006451EF"/>
    <w:rsid w:val="00646CFC"/>
    <w:rsid w:val="00653D36"/>
    <w:rsid w:val="00667327"/>
    <w:rsid w:val="006A1341"/>
    <w:rsid w:val="006B2602"/>
    <w:rsid w:val="006C22D1"/>
    <w:rsid w:val="00702058"/>
    <w:rsid w:val="00712AEC"/>
    <w:rsid w:val="007159F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3C8"/>
    <w:rsid w:val="00895911"/>
    <w:rsid w:val="008A542C"/>
    <w:rsid w:val="008B7B35"/>
    <w:rsid w:val="008C5DB1"/>
    <w:rsid w:val="008E26E4"/>
    <w:rsid w:val="008E5482"/>
    <w:rsid w:val="008E6772"/>
    <w:rsid w:val="008F796E"/>
    <w:rsid w:val="00900D24"/>
    <w:rsid w:val="00920C08"/>
    <w:rsid w:val="00943B76"/>
    <w:rsid w:val="00963A2D"/>
    <w:rsid w:val="00994DD5"/>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B2712"/>
    <w:rsid w:val="00BC4AD6"/>
    <w:rsid w:val="00BC77E0"/>
    <w:rsid w:val="00BF504D"/>
    <w:rsid w:val="00C104F2"/>
    <w:rsid w:val="00C20261"/>
    <w:rsid w:val="00C27DAA"/>
    <w:rsid w:val="00C418EC"/>
    <w:rsid w:val="00C6693D"/>
    <w:rsid w:val="00C723E7"/>
    <w:rsid w:val="00C97FFD"/>
    <w:rsid w:val="00CA12EC"/>
    <w:rsid w:val="00CA43AB"/>
    <w:rsid w:val="00CC3B52"/>
    <w:rsid w:val="00CE0966"/>
    <w:rsid w:val="00CE55DB"/>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C4139"/>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02CA262D"/>
    <w:rsid w:val="11CF6489"/>
    <w:rsid w:val="1E8C1798"/>
    <w:rsid w:val="5CA349FA"/>
  </w:rsids>
  <m:mathPr>
    <m:mathFont m:val="Cambria Math"/>
    <m:brkBin m:val="before"/>
    <m:brkBinSub m:val="--"/>
    <m:smallFrac m:val="1"/>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annotation reference"/>
    <w:semiHidden/>
    <w:unhideWhenUsed/>
    <w:qFormat/>
    <w:uiPriority w:val="0"/>
    <w:rPr>
      <w:sz w:val="21"/>
    </w:rPr>
  </w:style>
  <w:style w:type="character" w:customStyle="1" w:styleId="15">
    <w:name w:val="标题 1 字符"/>
    <w:basedOn w:val="13"/>
    <w:link w:val="2"/>
    <w:qFormat/>
    <w:locked/>
    <w:uiPriority w:val="0"/>
    <w:rPr>
      <w:rFonts w:ascii="Times New Roman" w:hAnsi="Times New Roman" w:eastAsia="宋体" w:cs="Times New Roman"/>
      <w:b/>
      <w:kern w:val="44"/>
      <w:sz w:val="44"/>
      <w:szCs w:val="20"/>
    </w:rPr>
  </w:style>
  <w:style w:type="character" w:customStyle="1" w:styleId="16">
    <w:name w:val="标题 2 字符"/>
    <w:basedOn w:val="13"/>
    <w:link w:val="3"/>
    <w:semiHidden/>
    <w:qFormat/>
    <w:locked/>
    <w:uiPriority w:val="0"/>
    <w:rPr>
      <w:rFonts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3"/>
    <w:link w:val="9"/>
    <w:qFormat/>
    <w:locked/>
    <w:uiPriority w:val="99"/>
    <w:rPr>
      <w:sz w:val="18"/>
      <w:szCs w:val="18"/>
    </w:rPr>
  </w:style>
  <w:style w:type="character" w:customStyle="1" w:styleId="19">
    <w:name w:val="页脚 字符"/>
    <w:basedOn w:val="13"/>
    <w:link w:val="8"/>
    <w:qFormat/>
    <w:locked/>
    <w:uiPriority w:val="99"/>
    <w:rPr>
      <w:sz w:val="18"/>
      <w:szCs w:val="18"/>
    </w:rPr>
  </w:style>
  <w:style w:type="character" w:customStyle="1" w:styleId="20">
    <w:name w:val="正文文本 字符"/>
    <w:basedOn w:val="13"/>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10"/>
    <w:semiHidden/>
    <w:qFormat/>
    <w:locked/>
    <w:uiPriority w:val="99"/>
    <w:rPr>
      <w:rFonts w:ascii="Times New Roman" w:hAnsi="Times New Roman" w:eastAsia="宋体" w:cs="Times New Roman"/>
      <w:b/>
      <w:bCs/>
      <w:kern w:val="2"/>
      <w:sz w:val="21"/>
    </w:rPr>
  </w:style>
  <w:style w:type="character" w:customStyle="1" w:styleId="22">
    <w:name w:val="批注框文本 字符"/>
    <w:basedOn w:val="13"/>
    <w:link w:val="7"/>
    <w:semiHidden/>
    <w:qFormat/>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字符"/>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6A4025-CFBB-420A-9C7F-6B19F8C707C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707</Words>
  <Characters>4032</Characters>
  <Lines>33</Lines>
  <Paragraphs>9</Paragraphs>
  <TotalTime>0</TotalTime>
  <ScaleCrop>false</ScaleCrop>
  <LinksUpToDate>false</LinksUpToDate>
  <CharactersWithSpaces>4730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gynsh</cp:lastModifiedBy>
  <cp:lastPrinted>2019-10-15T07:44:00Z</cp:lastPrinted>
  <dcterms:modified xsi:type="dcterms:W3CDTF">2023-01-17T06:19:53Z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Generator">
    <vt:lpwstr>NPOI</vt:lpwstr>
  </property>
  <property fmtid="{D5CDD505-2E9C-101B-9397-08002B2CF9AE}" pid="4" name="Generator Version">
    <vt:lpwstr>2.2.1</vt:lpwstr>
  </property>
</Properties>
</file>