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eastAsia="zh-CN"/>
        </w:rPr>
        <w:t>新客专享</w:t>
      </w:r>
      <w:r>
        <w:rPr>
          <w:rFonts w:hint="eastAsia" w:ascii="方正小标宋简体" w:hAnsi="宋体" w:eastAsia="方正小标宋简体"/>
          <w:color w:val="auto"/>
          <w:sz w:val="44"/>
          <w:szCs w:val="32"/>
          <w:shd w:val="clear" w:color="auto" w:fill="FFFFFF"/>
          <w:lang w:val="en-US" w:eastAsia="zh-CN"/>
        </w:rPr>
        <w:t>18</w:t>
      </w:r>
      <w:r>
        <w:rPr>
          <w:rFonts w:hint="eastAsia" w:ascii="方正小标宋简体" w:hAnsi="宋体" w:eastAsia="方正小标宋简体"/>
          <w:color w:val="auto"/>
          <w:sz w:val="44"/>
          <w:szCs w:val="32"/>
          <w:shd w:val="clear" w:color="auto" w:fill="FFFFFF"/>
        </w:rPr>
        <w:t>期理财产品20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w:t>
      </w:r>
      <w:r>
        <w:rPr>
          <w:rFonts w:hint="eastAsia" w:ascii="方正小标宋简体" w:hAnsi="宋体" w:eastAsia="方正小标宋简体"/>
          <w:color w:val="auto"/>
          <w:sz w:val="44"/>
          <w:szCs w:val="32"/>
          <w:shd w:val="clear" w:color="auto" w:fill="FFFFFF"/>
          <w:lang w:eastAsia="zh-CN"/>
        </w:rPr>
        <w:t>季度报告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月3</w:t>
      </w:r>
      <w:r>
        <w:rPr>
          <w:rFonts w:hint="eastAsia" w:ascii="仿宋" w:hAnsi="仿宋" w:eastAsia="仿宋"/>
          <w:b/>
          <w:color w:val="auto"/>
          <w:sz w:val="32"/>
          <w:szCs w:val="32"/>
          <w:shd w:val="clear" w:color="auto" w:fill="FFFFFF"/>
          <w:lang w:val="en-US" w:eastAsia="zh-CN"/>
        </w:rPr>
        <w:t>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中国工商银行</w:t>
      </w:r>
      <w:r>
        <w:rPr>
          <w:rFonts w:hint="eastAsia" w:ascii="仿宋" w:hAnsi="仿宋" w:eastAsia="仿宋"/>
          <w:b/>
          <w:color w:val="auto"/>
          <w:sz w:val="32"/>
          <w:szCs w:val="32"/>
          <w:shd w:val="clear" w:color="auto" w:fill="FFFFFF"/>
        </w:rPr>
        <w:t>股份有限公司</w:t>
      </w:r>
      <w:r>
        <w:rPr>
          <w:rFonts w:hint="eastAsia" w:ascii="仿宋" w:hAnsi="仿宋" w:eastAsia="仿宋"/>
          <w:b/>
          <w:color w:val="auto"/>
          <w:sz w:val="32"/>
          <w:szCs w:val="32"/>
          <w:shd w:val="clear" w:color="auto" w:fill="FFFFFF"/>
          <w:lang w:eastAsia="zh-CN"/>
        </w:rPr>
        <w:t>广州分行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中国工商银行</w:t>
      </w:r>
      <w:r>
        <w:rPr>
          <w:rFonts w:ascii="仿宋" w:hAnsi="仿宋" w:eastAsia="仿宋"/>
          <w:color w:val="auto"/>
        </w:rPr>
        <w:t>股份有限公司</w:t>
      </w:r>
      <w:r>
        <w:rPr>
          <w:rFonts w:hint="eastAsia" w:ascii="仿宋" w:hAnsi="仿宋" w:eastAsia="仿宋"/>
          <w:color w:val="auto"/>
          <w:lang w:eastAsia="zh-CN"/>
        </w:rPr>
        <w:t>广州分行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10月01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bookmarkStart w:id="0" w:name="_Toc528772556"/>
            <w:bookmarkStart w:id="1" w:name="_Toc194311890"/>
            <w:r>
              <w:rPr>
                <w:rFonts w:hint="eastAsia" w:ascii="仿宋" w:hAnsi="仿宋" w:eastAsia="仿宋"/>
                <w:b/>
                <w:color w:val="auto"/>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超值宝新客专享</w:t>
            </w:r>
            <w:r>
              <w:rPr>
                <w:rFonts w:hint="eastAsia" w:ascii="仿宋" w:hAnsi="仿宋" w:eastAsia="仿宋"/>
                <w:color w:val="auto"/>
                <w:kern w:val="0"/>
                <w:szCs w:val="21"/>
                <w:shd w:val="clear" w:color="auto" w:fill="FFFFFF"/>
                <w:lang w:val="en-US" w:eastAsia="zh-CN"/>
              </w:rPr>
              <w:t>18</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color w:val="auto"/>
                <w:kern w:val="0"/>
                <w:szCs w:val="21"/>
                <w:shd w:val="clear" w:color="auto"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lang w:eastAsia="zh-CN"/>
              </w:rPr>
              <w:t>63,560,000.00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w:t>
            </w:r>
            <w:r>
              <w:rPr>
                <w:rFonts w:ascii="仿宋" w:hAnsi="仿宋" w:eastAsia="仿宋"/>
                <w:color w:val="auto"/>
                <w:szCs w:val="21"/>
                <w:shd w:val="clear" w:color="auto" w:fill="FFFFFF"/>
              </w:rPr>
              <w:t>.</w:t>
            </w:r>
            <w:r>
              <w:rPr>
                <w:rFonts w:hint="eastAsia" w:ascii="仿宋" w:hAnsi="仿宋" w:eastAsia="仿宋"/>
                <w:color w:val="auto"/>
                <w:szCs w:val="21"/>
                <w:shd w:val="clear" w:color="auto" w:fill="FFFFFF"/>
                <w:lang w:val="en-US" w:eastAsia="zh-CN"/>
              </w:rPr>
              <w:t>2</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rPr>
              <w:t>%/年，固定管理费0</w:t>
            </w:r>
            <w:r>
              <w:rPr>
                <w:rFonts w:ascii="仿宋" w:hAnsi="仿宋" w:eastAsia="仿宋"/>
                <w:color w:val="auto"/>
                <w:szCs w:val="21"/>
                <w:shd w:val="clear" w:color="auto" w:fill="FFFFFF"/>
              </w:rPr>
              <w:t>.</w:t>
            </w:r>
            <w:r>
              <w:rPr>
                <w:rFonts w:hint="eastAsia" w:ascii="仿宋" w:hAnsi="仿宋" w:eastAsia="仿宋"/>
                <w:color w:val="auto"/>
                <w:szCs w:val="21"/>
                <w:shd w:val="clear" w:color="auto" w:fill="FFFFFF"/>
                <w:lang w:val="en-US" w:eastAsia="zh-CN"/>
              </w:rPr>
              <w:t>2</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rPr>
              <w:t>%/年、固定托管费0</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lang w:val="en-US" w:eastAsia="zh-CN"/>
              </w:rPr>
              <w:t>2</w:t>
            </w:r>
            <w:r>
              <w:rPr>
                <w:rFonts w:hint="eastAsia" w:ascii="仿宋" w:hAnsi="仿宋" w:eastAsia="仿宋"/>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2022年8月25日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5.00%-5.30%</w:t>
            </w:r>
            <w:r>
              <w:rPr>
                <w:rFonts w:hint="eastAsia" w:ascii="仿宋" w:hAnsi="仿宋" w:eastAsia="仿宋"/>
                <w:color w:val="auto"/>
                <w:szCs w:val="21"/>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中国工商银行</w:t>
            </w:r>
            <w:r>
              <w:rPr>
                <w:rFonts w:hint="eastAsia" w:ascii="仿宋" w:hAnsi="仿宋" w:eastAsia="仿宋"/>
                <w:color w:val="auto"/>
                <w:szCs w:val="21"/>
                <w:shd w:val="clear" w:color="auto" w:fill="FFFFFF"/>
              </w:rPr>
              <w:t>股份有限公司</w:t>
            </w:r>
            <w:r>
              <w:rPr>
                <w:rFonts w:hint="eastAsia" w:ascii="仿宋" w:hAnsi="仿宋" w:eastAsia="仿宋"/>
                <w:color w:val="auto"/>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户名：工商银行贵阳农商银行超值宝新客专享１８期理财产品</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账号：3602003829200484341</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中国工商银行广州分行</w:t>
            </w:r>
            <w:r>
              <w:rPr>
                <w:rFonts w:hint="eastAsia" w:ascii="仿宋" w:hAnsi="仿宋" w:eastAsia="仿宋"/>
                <w:color w:val="auto"/>
                <w:szCs w:val="21"/>
                <w:shd w:val="clear" w:color="auto" w:fill="FFFFFF"/>
              </w:rPr>
              <w:t>大德支行</w:t>
            </w:r>
          </w:p>
        </w:tc>
      </w:tr>
    </w:tbl>
    <w:p>
      <w:pPr>
        <w:spacing w:before="156" w:beforeLines="50" w:after="156" w:afterLines="50" w:line="360" w:lineRule="auto"/>
        <w:jc w:val="center"/>
        <w:rPr>
          <w:rFonts w:ascii="黑体" w:hAnsi="黑体" w:eastAsia="黑体"/>
          <w:color w:val="auto"/>
          <w:sz w:val="24"/>
          <w:szCs w:val="24"/>
          <w:shd w:val="clear" w:color="auto" w:fill="FFFFFF"/>
        </w:rPr>
      </w:pPr>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p>
      <w:pPr>
        <w:spacing w:before="156" w:beforeLines="50" w:after="156" w:afterLines="50" w:line="360" w:lineRule="auto"/>
        <w:rPr>
          <w:rFonts w:ascii="仿宋" w:hAnsi="仿宋" w:eastAsia="仿宋"/>
          <w:b/>
          <w:color w:val="auto"/>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w:t>
            </w:r>
            <w:r>
              <w:rPr>
                <w:rFonts w:hint="eastAsia" w:ascii="仿宋" w:hAnsi="仿宋" w:eastAsia="仿宋"/>
                <w:color w:val="auto"/>
                <w:szCs w:val="21"/>
                <w:shd w:val="clear" w:color="auto" w:fill="FFFFFF"/>
              </w:rPr>
              <w:t>日-20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31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-64,968.78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1,071,616.86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65,013,950.83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1.0229</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hint="eastAsia" w:ascii="仿宋" w:hAnsi="仿宋" w:eastAsia="仿宋"/>
          <w:color w:val="auto"/>
          <w:lang w:val="en-US" w:eastAsia="zh-CN"/>
        </w:rPr>
      </w:pPr>
      <w:r>
        <w:rPr>
          <w:rFonts w:hint="eastAsia" w:ascii="仿宋" w:hAnsi="仿宋" w:eastAsia="仿宋"/>
          <w:color w:val="auto"/>
          <w:lang w:val="en-US" w:eastAsia="zh-CN"/>
        </w:rPr>
        <w:t>3.2.1本期产品净值走势图</w:t>
      </w:r>
    </w:p>
    <w:p>
      <w:pPr>
        <w:spacing w:before="156" w:beforeLines="50" w:line="240" w:lineRule="auto"/>
        <w:rPr>
          <w:rFonts w:hint="eastAsia"/>
          <w:color w:val="auto"/>
          <w:lang w:val="en-US" w:eastAsia="zh-CN"/>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1.68 </w:t>
            </w:r>
          </w:p>
        </w:tc>
        <w:tc>
          <w:tcPr>
            <w:tcW w:w="3560"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2.29 </w:t>
            </w:r>
          </w:p>
        </w:tc>
        <w:tc>
          <w:tcPr>
            <w:tcW w:w="3560"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1.78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产品自2021年</w:t>
      </w:r>
      <w:r>
        <w:rPr>
          <w:rFonts w:hint="eastAsia" w:ascii="仿宋" w:hAnsi="仿宋" w:eastAsia="仿宋"/>
          <w:color w:val="auto"/>
          <w:szCs w:val="21"/>
          <w:lang w:val="en-US" w:eastAsia="zh-CN"/>
        </w:rPr>
        <w:t>8</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0.65</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w:t>
      </w:r>
      <w:r>
        <w:rPr>
          <w:rFonts w:hint="eastAsia" w:ascii="仿宋" w:hAnsi="仿宋" w:eastAsia="仿宋"/>
          <w:color w:val="auto"/>
          <w:szCs w:val="21"/>
          <w:shd w:val="clear" w:color="auto" w:fill="FFFFFF"/>
        </w:rPr>
        <w:t>1.0229</w:t>
      </w:r>
      <w:r>
        <w:rPr>
          <w:rFonts w:hint="eastAsia" w:ascii="仿宋" w:hAnsi="仿宋" w:eastAsia="仿宋"/>
          <w:color w:val="auto"/>
          <w:szCs w:val="21"/>
        </w:rPr>
        <w:t>，整体杠杆率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szCs w:val="21"/>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1.68</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ascii="仿宋" w:hAnsi="仿宋" w:eastAsia="仿宋"/>
          <w:color w:val="auto"/>
        </w:rPr>
      </w:pP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color w:val="auto"/>
                <w:szCs w:val="21"/>
              </w:rPr>
            </w:pPr>
            <w:r>
              <w:rPr>
                <w:rFonts w:hint="eastAsia" w:ascii="仿宋" w:hAnsi="仿宋" w:eastAsia="仿宋"/>
                <w:color w:val="auto"/>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65,116,885.54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rPr>
              <w:t>65,116,885.54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eastAsia="zh-CN"/>
              </w:rPr>
            </w:pPr>
            <w:r>
              <w:rPr>
                <w:rFonts w:hint="eastAsia" w:ascii="仿宋" w:hAnsi="仿宋" w:eastAsia="仿宋"/>
                <w:color w:val="auto"/>
                <w:szCs w:val="21"/>
                <w:lang w:val="en-US" w:eastAsia="zh-CN"/>
              </w:rPr>
              <w:t>100.00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65,116,885.54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618.49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65,117,504.14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3,448,753,477.94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91,000,910.00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34,260,613.010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117,911,532.34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3,691,926,533.29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33.53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color w:val="auto"/>
        </w:rPr>
      </w:pPr>
      <w:r>
        <w:rPr>
          <w:rFonts w:hint="eastAsia" w:ascii="宋体"/>
          <w:color w:val="auto"/>
        </w:rPr>
        <w:tab/>
      </w:r>
      <w:r>
        <w:rPr>
          <w:rFonts w:hint="eastAsia" w:ascii="仿宋" w:hAnsi="仿宋" w:eastAsia="仿宋"/>
          <w:color w:val="auto"/>
          <w:szCs w:val="21"/>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eastAsia="zh-CN"/>
        </w:rPr>
        <w:t>88115057</w:t>
      </w:r>
    </w:p>
    <w:p>
      <w:pPr>
        <w:rPr>
          <w:rFonts w:hint="eastAsia" w:ascii="仿宋" w:hAnsi="仿宋" w:eastAsia="仿宋"/>
          <w:color w:val="auto"/>
          <w:szCs w:val="21"/>
        </w:rPr>
      </w:pPr>
    </w:p>
    <w:p>
      <w:pPr>
        <w:rPr>
          <w:rFonts w:hint="eastAsia" w:ascii="仿宋" w:hAnsi="仿宋" w:eastAsia="仿宋"/>
          <w:color w:val="auto"/>
          <w:szCs w:val="21"/>
        </w:rPr>
      </w:pPr>
    </w:p>
    <w:p>
      <w:pPr>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日</w:t>
      </w:r>
    </w:p>
    <w:p>
      <w:pPr>
        <w:spacing w:line="360" w:lineRule="auto"/>
        <w:jc w:val="right"/>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5D80F1-7E52-47E5-994F-3BF826A7C5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A3BBB9E-ACCC-4A0B-B4AB-AFCE5A064AF5}"/>
  </w:font>
  <w:font w:name="仿宋">
    <w:panose1 w:val="02010609060101010101"/>
    <w:charset w:val="86"/>
    <w:family w:val="auto"/>
    <w:pitch w:val="default"/>
    <w:sig w:usb0="800002BF" w:usb1="38CF7CFA" w:usb2="00000016" w:usb3="00000000" w:csb0="00040001" w:csb1="00000000"/>
    <w:embedRegular r:id="rId3" w:fontKey="{B8E0986A-473D-4DF7-A976-6BAFDFDC00B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o/SIRERHTeTGR0dyMecY14M1N4s=" w:salt="jAnBmIAYdPFVpWffUJHzA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9E69E3"/>
    <w:rsid w:val="134F5BC1"/>
    <w:rsid w:val="14A17047"/>
    <w:rsid w:val="14E74041"/>
    <w:rsid w:val="153D2966"/>
    <w:rsid w:val="188B46A5"/>
    <w:rsid w:val="195F6954"/>
    <w:rsid w:val="1C311D75"/>
    <w:rsid w:val="2AA204DB"/>
    <w:rsid w:val="2E344397"/>
    <w:rsid w:val="2F5C56FB"/>
    <w:rsid w:val="2FCD2C4F"/>
    <w:rsid w:val="371A037A"/>
    <w:rsid w:val="38721494"/>
    <w:rsid w:val="394F4B22"/>
    <w:rsid w:val="3D305393"/>
    <w:rsid w:val="3F524561"/>
    <w:rsid w:val="4218718A"/>
    <w:rsid w:val="46776F3C"/>
    <w:rsid w:val="4AED4BA6"/>
    <w:rsid w:val="4D1108E2"/>
    <w:rsid w:val="4EE378EB"/>
    <w:rsid w:val="4F8B0C85"/>
    <w:rsid w:val="50D46540"/>
    <w:rsid w:val="54604F6D"/>
    <w:rsid w:val="57FE5038"/>
    <w:rsid w:val="58DF7C14"/>
    <w:rsid w:val="5E660FCE"/>
    <w:rsid w:val="621E37DC"/>
    <w:rsid w:val="64F431AF"/>
    <w:rsid w:val="65720557"/>
    <w:rsid w:val="673B4350"/>
    <w:rsid w:val="67855A67"/>
    <w:rsid w:val="67DF73FA"/>
    <w:rsid w:val="692A41F0"/>
    <w:rsid w:val="6C7928C7"/>
    <w:rsid w:val="6F3D2CEC"/>
    <w:rsid w:val="705B15C4"/>
    <w:rsid w:val="721D77CA"/>
    <w:rsid w:val="72B166F7"/>
    <w:rsid w:val="78F3167F"/>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'[贵阳季报净值模板.xlsx]4季度'!$B$1:$B$92</c:f>
              <c:numCache>
                <c:formatCode>General</c:formatCode>
                <c:ptCount val="92"/>
                <c:pt idx="0">
                  <c:v>1.006</c:v>
                </c:pt>
                <c:pt idx="1">
                  <c:v>1.006</c:v>
                </c:pt>
                <c:pt idx="2">
                  <c:v>1.006</c:v>
                </c:pt>
                <c:pt idx="3">
                  <c:v>1.006</c:v>
                </c:pt>
                <c:pt idx="4">
                  <c:v>1.006</c:v>
                </c:pt>
                <c:pt idx="5">
                  <c:v>1.0059</c:v>
                </c:pt>
                <c:pt idx="6">
                  <c:v>1.0059</c:v>
                </c:pt>
                <c:pt idx="7">
                  <c:v>1.0074</c:v>
                </c:pt>
                <c:pt idx="8">
                  <c:v>1.0074</c:v>
                </c:pt>
                <c:pt idx="9">
                  <c:v>1.0074</c:v>
                </c:pt>
                <c:pt idx="10">
                  <c:v>1.0079</c:v>
                </c:pt>
                <c:pt idx="11">
                  <c:v>1.0081</c:v>
                </c:pt>
                <c:pt idx="12">
                  <c:v>1.0083</c:v>
                </c:pt>
                <c:pt idx="13">
                  <c:v>1.0085</c:v>
                </c:pt>
                <c:pt idx="14">
                  <c:v>1.0086</c:v>
                </c:pt>
                <c:pt idx="15">
                  <c:v>1.0086</c:v>
                </c:pt>
                <c:pt idx="16">
                  <c:v>1.0086</c:v>
                </c:pt>
                <c:pt idx="17">
                  <c:v>1.0092</c:v>
                </c:pt>
                <c:pt idx="18">
                  <c:v>1.0093</c:v>
                </c:pt>
                <c:pt idx="19">
                  <c:v>1.0095</c:v>
                </c:pt>
                <c:pt idx="20">
                  <c:v>1.0097</c:v>
                </c:pt>
                <c:pt idx="21">
                  <c:v>1.0099</c:v>
                </c:pt>
                <c:pt idx="22">
                  <c:v>1.0099</c:v>
                </c:pt>
                <c:pt idx="23">
                  <c:v>1.0098</c:v>
                </c:pt>
                <c:pt idx="24">
                  <c:v>1.0104</c:v>
                </c:pt>
                <c:pt idx="25">
                  <c:v>1.0106</c:v>
                </c:pt>
                <c:pt idx="26">
                  <c:v>1.0107</c:v>
                </c:pt>
                <c:pt idx="27">
                  <c:v>1.0109</c:v>
                </c:pt>
                <c:pt idx="28">
                  <c:v>1.0111</c:v>
                </c:pt>
                <c:pt idx="29">
                  <c:v>1.0111</c:v>
                </c:pt>
                <c:pt idx="30">
                  <c:v>1.0111</c:v>
                </c:pt>
                <c:pt idx="31">
                  <c:v>1.0116</c:v>
                </c:pt>
                <c:pt idx="32">
                  <c:v>1.0118</c:v>
                </c:pt>
                <c:pt idx="33">
                  <c:v>1.012</c:v>
                </c:pt>
                <c:pt idx="34">
                  <c:v>1.0121</c:v>
                </c:pt>
                <c:pt idx="35">
                  <c:v>1.0123</c:v>
                </c:pt>
                <c:pt idx="36">
                  <c:v>1.0123</c:v>
                </c:pt>
                <c:pt idx="37">
                  <c:v>1.0123</c:v>
                </c:pt>
                <c:pt idx="38">
                  <c:v>1.0128</c:v>
                </c:pt>
                <c:pt idx="39">
                  <c:v>1.013</c:v>
                </c:pt>
                <c:pt idx="40">
                  <c:v>1.0132</c:v>
                </c:pt>
                <c:pt idx="41">
                  <c:v>1.0133</c:v>
                </c:pt>
                <c:pt idx="42">
                  <c:v>1.0135</c:v>
                </c:pt>
                <c:pt idx="43">
                  <c:v>1.0134</c:v>
                </c:pt>
                <c:pt idx="44">
                  <c:v>1.0134</c:v>
                </c:pt>
                <c:pt idx="45">
                  <c:v>1.014</c:v>
                </c:pt>
                <c:pt idx="46">
                  <c:v>1.0142</c:v>
                </c:pt>
                <c:pt idx="47">
                  <c:v>1.0143</c:v>
                </c:pt>
                <c:pt idx="48">
                  <c:v>1.0145</c:v>
                </c:pt>
                <c:pt idx="49">
                  <c:v>1.0147</c:v>
                </c:pt>
                <c:pt idx="50">
                  <c:v>1.0147</c:v>
                </c:pt>
                <c:pt idx="51">
                  <c:v>1.0147</c:v>
                </c:pt>
                <c:pt idx="52">
                  <c:v>1.0152</c:v>
                </c:pt>
                <c:pt idx="53">
                  <c:v>1.0154</c:v>
                </c:pt>
                <c:pt idx="54">
                  <c:v>1.0156</c:v>
                </c:pt>
                <c:pt idx="55">
                  <c:v>1.0157</c:v>
                </c:pt>
                <c:pt idx="56">
                  <c:v>1.0159</c:v>
                </c:pt>
                <c:pt idx="57">
                  <c:v>1.0159</c:v>
                </c:pt>
                <c:pt idx="58">
                  <c:v>1.0159</c:v>
                </c:pt>
                <c:pt idx="59">
                  <c:v>1.0164</c:v>
                </c:pt>
                <c:pt idx="60">
                  <c:v>1.0166</c:v>
                </c:pt>
                <c:pt idx="61">
                  <c:v>1.0168</c:v>
                </c:pt>
                <c:pt idx="62">
                  <c:v>1.017</c:v>
                </c:pt>
                <c:pt idx="63">
                  <c:v>1.0171</c:v>
                </c:pt>
                <c:pt idx="64">
                  <c:v>1.0171</c:v>
                </c:pt>
                <c:pt idx="65">
                  <c:v>1.0171</c:v>
                </c:pt>
                <c:pt idx="66">
                  <c:v>1.0177</c:v>
                </c:pt>
                <c:pt idx="67">
                  <c:v>1.0177</c:v>
                </c:pt>
                <c:pt idx="68">
                  <c:v>1.0179</c:v>
                </c:pt>
                <c:pt idx="69">
                  <c:v>1.0181</c:v>
                </c:pt>
                <c:pt idx="70">
                  <c:v>1.0183</c:v>
                </c:pt>
                <c:pt idx="71">
                  <c:v>1.0183</c:v>
                </c:pt>
                <c:pt idx="72">
                  <c:v>1.0182</c:v>
                </c:pt>
                <c:pt idx="73">
                  <c:v>1.0188</c:v>
                </c:pt>
                <c:pt idx="74">
                  <c:v>1.019</c:v>
                </c:pt>
                <c:pt idx="75">
                  <c:v>1.0191</c:v>
                </c:pt>
                <c:pt idx="76">
                  <c:v>1.0193</c:v>
                </c:pt>
                <c:pt idx="77">
                  <c:v>1.0195</c:v>
                </c:pt>
                <c:pt idx="78">
                  <c:v>1.0195</c:v>
                </c:pt>
                <c:pt idx="79">
                  <c:v>1.0195</c:v>
                </c:pt>
                <c:pt idx="80">
                  <c:v>1.0202</c:v>
                </c:pt>
                <c:pt idx="81">
                  <c:v>1.0205</c:v>
                </c:pt>
                <c:pt idx="82">
                  <c:v>1.0208</c:v>
                </c:pt>
                <c:pt idx="83">
                  <c:v>1.0209</c:v>
                </c:pt>
                <c:pt idx="84">
                  <c:v>1.0212</c:v>
                </c:pt>
                <c:pt idx="85">
                  <c:v>1.0212</c:v>
                </c:pt>
                <c:pt idx="86">
                  <c:v>1.0212</c:v>
                </c:pt>
                <c:pt idx="87">
                  <c:v>1.0218</c:v>
                </c:pt>
                <c:pt idx="88">
                  <c:v>1.0221</c:v>
                </c:pt>
                <c:pt idx="89">
                  <c:v>1.0223</c:v>
                </c:pt>
                <c:pt idx="90">
                  <c:v>1.0226</c:v>
                </c:pt>
                <c:pt idx="91">
                  <c:v>1.0229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'[贵阳季报净值模板.xlsx]4季度'!$C$1:$C$92</c:f>
              <c:numCache>
                <c:formatCode>0.00%</c:formatCode>
                <c:ptCount val="92"/>
                <c:pt idx="0">
                  <c:v>0</c:v>
                </c:pt>
                <c:pt idx="1">
                  <c:v>0</c:v>
                </c:pt>
                <c:pt idx="2">
                  <c:v>0</c:v>
                </c:pt>
                <c:pt idx="3">
                  <c:v>0</c:v>
                </c:pt>
                <c:pt idx="4">
                  <c:v>0</c:v>
                </c:pt>
                <c:pt idx="5">
                  <c:v>-9.94035785287783e-5</c:v>
                </c:pt>
                <c:pt idx="6">
                  <c:v>-9.94035785287783e-5</c:v>
                </c:pt>
                <c:pt idx="7">
                  <c:v>0.00139165009940356</c:v>
                </c:pt>
                <c:pt idx="8">
                  <c:v>0.00139165009940356</c:v>
                </c:pt>
                <c:pt idx="9">
                  <c:v>0.00139165009940356</c:v>
                </c:pt>
                <c:pt idx="10">
                  <c:v>0.00188866799204779</c:v>
                </c:pt>
                <c:pt idx="11">
                  <c:v>0.00208747514910534</c:v>
                </c:pt>
                <c:pt idx="12">
                  <c:v>0.0022862823061629</c:v>
                </c:pt>
                <c:pt idx="13">
                  <c:v>0.00248508946322068</c:v>
                </c:pt>
                <c:pt idx="14">
                  <c:v>0.00258449304174935</c:v>
                </c:pt>
                <c:pt idx="15">
                  <c:v>0.00258449304174935</c:v>
                </c:pt>
                <c:pt idx="16">
                  <c:v>0.00258449304174935</c:v>
                </c:pt>
                <c:pt idx="17">
                  <c:v>0.00318091451292246</c:v>
                </c:pt>
                <c:pt idx="18">
                  <c:v>0.00328031809145135</c:v>
                </c:pt>
                <c:pt idx="19">
                  <c:v>0.00347912524850891</c:v>
                </c:pt>
                <c:pt idx="20">
                  <c:v>0.00367793240556669</c:v>
                </c:pt>
                <c:pt idx="21">
                  <c:v>0.00387673956262424</c:v>
                </c:pt>
                <c:pt idx="22">
                  <c:v>0.00387673956262424</c:v>
                </c:pt>
                <c:pt idx="23">
                  <c:v>0.00377733598409535</c:v>
                </c:pt>
                <c:pt idx="24">
                  <c:v>0.00437375745526825</c:v>
                </c:pt>
                <c:pt idx="25">
                  <c:v>0.00457256461232602</c:v>
                </c:pt>
                <c:pt idx="26">
                  <c:v>0.00467196819085469</c:v>
                </c:pt>
                <c:pt idx="27">
                  <c:v>0.00487077534791247</c:v>
                </c:pt>
                <c:pt idx="28">
                  <c:v>0.00506958250497025</c:v>
                </c:pt>
                <c:pt idx="29">
                  <c:v>0.00506958250497025</c:v>
                </c:pt>
                <c:pt idx="30">
                  <c:v>0.00506958250497025</c:v>
                </c:pt>
                <c:pt idx="31">
                  <c:v>0.00556660039761447</c:v>
                </c:pt>
                <c:pt idx="32">
                  <c:v>0.00576540755467203</c:v>
                </c:pt>
                <c:pt idx="33">
                  <c:v>0.00596421471172959</c:v>
                </c:pt>
                <c:pt idx="34">
                  <c:v>0.00606361829025848</c:v>
                </c:pt>
                <c:pt idx="35">
                  <c:v>0.00626242544731603</c:v>
                </c:pt>
                <c:pt idx="36">
                  <c:v>0.00626242544731603</c:v>
                </c:pt>
                <c:pt idx="37">
                  <c:v>0.00626242544731603</c:v>
                </c:pt>
                <c:pt idx="38">
                  <c:v>0.00675944333996026</c:v>
                </c:pt>
                <c:pt idx="39">
                  <c:v>0.00695825049701781</c:v>
                </c:pt>
                <c:pt idx="40">
                  <c:v>0.00715705765407559</c:v>
                </c:pt>
                <c:pt idx="41">
                  <c:v>0.00725646123260448</c:v>
                </c:pt>
                <c:pt idx="42">
                  <c:v>0.00745526838966204</c:v>
                </c:pt>
                <c:pt idx="43">
                  <c:v>0.00735586481113337</c:v>
                </c:pt>
                <c:pt idx="44">
                  <c:v>0.00735586481113337</c:v>
                </c:pt>
                <c:pt idx="45">
                  <c:v>0.00795228628230626</c:v>
                </c:pt>
                <c:pt idx="46">
                  <c:v>0.00815109343936382</c:v>
                </c:pt>
                <c:pt idx="47">
                  <c:v>0.00825049701789271</c:v>
                </c:pt>
                <c:pt idx="48">
                  <c:v>0.00844930417495027</c:v>
                </c:pt>
                <c:pt idx="49">
                  <c:v>0.00864811133200782</c:v>
                </c:pt>
                <c:pt idx="50">
                  <c:v>0.00864811133200782</c:v>
                </c:pt>
                <c:pt idx="51">
                  <c:v>0.00864811133200782</c:v>
                </c:pt>
                <c:pt idx="52">
                  <c:v>0.00914512922465227</c:v>
                </c:pt>
                <c:pt idx="53">
                  <c:v>0.00934393638170983</c:v>
                </c:pt>
                <c:pt idx="54">
                  <c:v>0.00954274353876738</c:v>
                </c:pt>
                <c:pt idx="55">
                  <c:v>0.00964214711729627</c:v>
                </c:pt>
                <c:pt idx="56">
                  <c:v>0.00984095427435383</c:v>
                </c:pt>
                <c:pt idx="57">
                  <c:v>0.00984095427435383</c:v>
                </c:pt>
                <c:pt idx="58">
                  <c:v>0.00984095427435383</c:v>
                </c:pt>
                <c:pt idx="59">
                  <c:v>0.0103379721669981</c:v>
                </c:pt>
                <c:pt idx="60">
                  <c:v>0.0105367793240556</c:v>
                </c:pt>
                <c:pt idx="61">
                  <c:v>0.0107355864811132</c:v>
                </c:pt>
                <c:pt idx="62">
                  <c:v>0.0109343936381709</c:v>
                </c:pt>
                <c:pt idx="63">
                  <c:v>0.0110337972166996</c:v>
                </c:pt>
                <c:pt idx="64">
                  <c:v>0.0110337972166996</c:v>
                </c:pt>
                <c:pt idx="65">
                  <c:v>0.0110337972166996</c:v>
                </c:pt>
                <c:pt idx="66">
                  <c:v>0.0116302186878727</c:v>
                </c:pt>
                <c:pt idx="67">
                  <c:v>0.0116302186878727</c:v>
                </c:pt>
                <c:pt idx="68">
                  <c:v>0.0118290258449305</c:v>
                </c:pt>
                <c:pt idx="69">
                  <c:v>0.0120278330019881</c:v>
                </c:pt>
                <c:pt idx="70">
                  <c:v>0.0122266401590456</c:v>
                </c:pt>
                <c:pt idx="71">
                  <c:v>0.0122266401590456</c:v>
                </c:pt>
                <c:pt idx="72">
                  <c:v>0.012127236580517</c:v>
                </c:pt>
                <c:pt idx="73">
                  <c:v>0.0127236580516898</c:v>
                </c:pt>
                <c:pt idx="74">
                  <c:v>0.0129224652087474</c:v>
                </c:pt>
                <c:pt idx="75">
                  <c:v>0.0130218687872763</c:v>
                </c:pt>
                <c:pt idx="76">
                  <c:v>0.0132206759443341</c:v>
                </c:pt>
                <c:pt idx="77">
                  <c:v>0.0134194831013916</c:v>
                </c:pt>
                <c:pt idx="78">
                  <c:v>0.0134194831013916</c:v>
                </c:pt>
                <c:pt idx="79">
                  <c:v>0.0134194831013916</c:v>
                </c:pt>
                <c:pt idx="80">
                  <c:v>0.0141153081510934</c:v>
                </c:pt>
                <c:pt idx="81">
                  <c:v>0.0144135188866799</c:v>
                </c:pt>
                <c:pt idx="82">
                  <c:v>0.0147117296222663</c:v>
                </c:pt>
                <c:pt idx="83">
                  <c:v>0.0148111332007952</c:v>
                </c:pt>
                <c:pt idx="84">
                  <c:v>0.0151093439363819</c:v>
                </c:pt>
                <c:pt idx="85">
                  <c:v>0.0151093439363819</c:v>
                </c:pt>
                <c:pt idx="86">
                  <c:v>0.0151093439363819</c:v>
                </c:pt>
                <c:pt idx="87">
                  <c:v>0.0157057654075548</c:v>
                </c:pt>
                <c:pt idx="88">
                  <c:v>0.0160039761431412</c:v>
                </c:pt>
                <c:pt idx="89">
                  <c:v>0.0162027833001988</c:v>
                </c:pt>
                <c:pt idx="90">
                  <c:v>0.0165009940357852</c:v>
                </c:pt>
                <c:pt idx="91">
                  <c:v>0.0167992047713716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2022-02-11T01:55:45Z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4D46EE98AACF409EAFF3894B7E111898</vt:lpwstr>
  </property>
</Properties>
</file>