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hint="eastAsia" w:ascii="方正小标宋简体" w:hAnsi="宋体" w:eastAsia="方正小标宋简体"/>
          <w:color w:val="000000"/>
          <w:sz w:val="44"/>
          <w:szCs w:val="32"/>
          <w:shd w:val="clear" w:color="auto" w:fill="FFFFFF"/>
        </w:rPr>
      </w:pPr>
      <w:r>
        <w:rPr>
          <w:rFonts w:hint="eastAsia" w:ascii="方正小标宋简体" w:hAnsi="宋体" w:eastAsia="方正小标宋简体"/>
          <w:color w:val="000000"/>
          <w:sz w:val="44"/>
          <w:szCs w:val="32"/>
          <w:shd w:val="clear" w:color="auto" w:fill="FFFFFF"/>
        </w:rPr>
        <w:t>贵阳农商银行超值宝新客专享1期</w:t>
      </w: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净值型理财产品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年</w:t>
      </w:r>
      <w:r>
        <w:rPr>
          <w:rFonts w:hint="eastAsia" w:ascii="方正小标宋简体" w:hAnsi="宋体" w:eastAsia="方正小标宋简体"/>
          <w:color w:val="000000"/>
          <w:sz w:val="44"/>
          <w:szCs w:val="32"/>
          <w:shd w:val="clear" w:color="auto" w:fill="FFFFFF"/>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20</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598" w:tblpY="81"/>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超值宝新客专享1期净值型理财产品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C1188320000057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kern w:val="0"/>
                <w:szCs w:val="21"/>
                <w:shd w:val="clear" w:color="auto" w:fill="FFFFFF"/>
                <w:lang w:val="en-US" w:eastAsia="zh-CN"/>
              </w:rPr>
              <w:t>200,000,000.00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2020年5月6日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2021年5月6日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杠杠水平</w:t>
            </w:r>
          </w:p>
        </w:tc>
        <w:tc>
          <w:tcPr>
            <w:tcW w:w="730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77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0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户名：工商银行贵阳农商银行超值宝新客专享１期净值型理财产品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账号：3602003829200409727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 xml:space="preserve">-694,869.63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2,812,578.99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202,812,578.99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1.0141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drawing>
          <wp:inline distT="0" distB="0" distL="114300" distR="114300">
            <wp:extent cx="4600575" cy="26765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00575" cy="2676525"/>
                    </a:xfrm>
                    <a:prstGeom prst="rect">
                      <a:avLst/>
                    </a:prstGeom>
                    <a:noFill/>
                    <a:ln w="9525">
                      <a:noFill/>
                    </a:ln>
                  </pic:spPr>
                </pic:pic>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1.41</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1.41</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4.34</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drawing>
          <wp:inline distT="0" distB="0" distL="114300" distR="114300">
            <wp:extent cx="4600575" cy="2676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600575" cy="2676525"/>
                    </a:xfrm>
                    <a:prstGeom prst="rect">
                      <a:avLst/>
                    </a:prstGeom>
                    <a:noFill/>
                    <a:ln w="9525">
                      <a:noFill/>
                    </a:ln>
                  </pic:spPr>
                </pic:pic>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2.03</w:t>
      </w:r>
      <w:r>
        <w:rPr>
          <w:rFonts w:hint="eastAsia" w:ascii="仿宋" w:hAnsi="仿宋" w:eastAsia="仿宋"/>
          <w:color w:val="000000"/>
          <w:szCs w:val="21"/>
        </w:rPr>
        <w:t>亿元，截止20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lang w:val="en-US" w:eastAsia="zh-CN"/>
        </w:rPr>
        <w:t>1.0141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1.41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203,507,448.62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rPr>
            </w:pPr>
            <w:r>
              <w:rPr>
                <w:rFonts w:hint="eastAsia" w:ascii="仿宋" w:hAnsi="仿宋" w:eastAsia="仿宋"/>
                <w:szCs w:val="21"/>
              </w:rPr>
              <w:t>203,507,448.62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203,507,448.62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lang w:val="en-US"/>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1,547.77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0.22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203,508,996.61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2,647,278,360.00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92.44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97,000,970.00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19,044,468.90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100,473,186.45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2,863,796,985.35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rPr>
            </w:pPr>
            <w:r>
              <w:rPr>
                <w:rFonts w:hint="eastAsia" w:ascii="宋体" w:hAnsi="宋体" w:eastAsia="宋体" w:cs="宋体"/>
                <w:i w:val="0"/>
                <w:color w:val="000000"/>
                <w:kern w:val="0"/>
                <w:sz w:val="20"/>
                <w:szCs w:val="20"/>
                <w:u w:val="none"/>
                <w:lang w:val="en-US" w:eastAsia="zh-CN" w:bidi="ar"/>
              </w:rPr>
              <w:t>20双龙01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205,464,000.00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7.17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182,305,500.00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6.37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宋体" w:hAnsi="宋体" w:eastAsia="宋体" w:cs="宋体"/>
                <w:i w:val="0"/>
                <w:color w:val="000000"/>
                <w:kern w:val="0"/>
                <w:sz w:val="20"/>
                <w:szCs w:val="20"/>
                <w:u w:val="none"/>
                <w:lang w:val="en-US" w:eastAsia="zh-CN" w:bidi="ar"/>
              </w:rPr>
              <w:t>20贵安G1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152,949,000.00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5.34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19中金05</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132,867,000.00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4.64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20兴安债</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129,545,000.00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4.52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16西秀01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109,835,000.00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18毕节债</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106,898,000.00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16张店农商二级</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99,110,000.00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20贵控01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97,500,000.00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19吉铁02</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95,030,000.00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 xml:space="preserve"> 1,311,503,500.00 </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45.80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 xml:space="preserve">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OIJzAGwITNI5IcswUyvrUXIF3bM=" w:salt="biokDyIdbBUtD75uDT4+2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04887"/>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0435BB"/>
    <w:rsid w:val="077D1837"/>
    <w:rsid w:val="0A8B07AD"/>
    <w:rsid w:val="0B0E4AEC"/>
    <w:rsid w:val="153D2966"/>
    <w:rsid w:val="15F34E40"/>
    <w:rsid w:val="1A8A1389"/>
    <w:rsid w:val="1B6A10BC"/>
    <w:rsid w:val="227C5875"/>
    <w:rsid w:val="24611A4B"/>
    <w:rsid w:val="2CB65D01"/>
    <w:rsid w:val="2DBB4E76"/>
    <w:rsid w:val="2EFD5C15"/>
    <w:rsid w:val="32DB3C0E"/>
    <w:rsid w:val="370B4CE6"/>
    <w:rsid w:val="492F0D36"/>
    <w:rsid w:val="54BA0C91"/>
    <w:rsid w:val="56FF30C9"/>
    <w:rsid w:val="570469C8"/>
    <w:rsid w:val="5E660FCE"/>
    <w:rsid w:val="63006749"/>
    <w:rsid w:val="6AC910B1"/>
    <w:rsid w:val="705B15C4"/>
    <w:rsid w:val="718F304E"/>
    <w:rsid w:val="75A725B4"/>
    <w:rsid w:val="7C802A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2022-01-26T00:54:23Z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