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贵阳农商银行超值宝新客专享3期净值型理财产</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eastAsia="zh-CN"/>
              </w:rPr>
              <w:t>新客专享</w:t>
            </w:r>
            <w:r>
              <w:rPr>
                <w:rFonts w:hint="eastAsia" w:ascii="仿宋" w:hAnsi="仿宋" w:eastAsia="仿宋"/>
                <w:kern w:val="0"/>
                <w:szCs w:val="21"/>
                <w:shd w:val="clear" w:color="auto" w:fill="FFFFFF"/>
                <w:lang w:val="en-US" w:eastAsia="zh-CN"/>
              </w:rPr>
              <w:t>3</w:t>
            </w:r>
            <w:r>
              <w:rPr>
                <w:rFonts w:hint="eastAsia" w:ascii="仿宋" w:hAnsi="仿宋" w:eastAsia="仿宋"/>
                <w:kern w:val="0"/>
                <w:szCs w:val="21"/>
                <w:shd w:val="clear" w:color="auto" w:fill="FFFFFF"/>
              </w:rPr>
              <w:t>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179,970,000.00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户名：工商银行贵阳农商银行超值宝新客专享３期净值型理财产品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账号：3602003829200434536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-480,302.30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4,167,858.14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184,137,858.14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p>
    <w:p>
      <w:pPr>
        <w:spacing w:before="156" w:beforeLines="50" w:line="240" w:lineRule="auto"/>
        <w:rPr>
          <w:rFonts w:hint="eastAsia"/>
          <w:lang w:val="en-US" w:eastAsia="zh-CN"/>
        </w:rPr>
      </w:pPr>
      <w:r>
        <w:rPr>
          <w:rFonts w:hint="default"/>
          <w:sz w:val="24"/>
        </w:rPr>
        <w:drawing>
          <wp:inline distT="0" distB="0" distL="114300" distR="114300">
            <wp:extent cx="459105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91050" cy="2647950"/>
                    </a:xfrm>
                    <a:prstGeom prst="rect">
                      <a:avLst/>
                    </a:prstGeom>
                    <a:noFill/>
                    <a:ln w="9525">
                      <a:noFill/>
                    </a:ln>
                  </pic:spPr>
                </pic:pic>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2.32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2.32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3.16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591050" cy="2647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91050" cy="2647950"/>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1.84</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日，净值1.0232，整体杠杆率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2.32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184,618,160.44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184,618,160.44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184,618,160.44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8,756.28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0.99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184,626,917.71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3,790,988,805.70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84.21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120,535,870.00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425,070,539.50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13,034,149.05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152,045,655.00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4,501,675,029.21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left"/>
              <w:textAlignment w:val="top"/>
              <w:rPr>
                <w:rFonts w:ascii="仿宋" w:hAnsi="仿宋" w:eastAsia="仿宋"/>
              </w:rPr>
            </w:pPr>
            <w:r>
              <w:rPr>
                <w:rFonts w:hint="eastAsia" w:ascii="宋体" w:hAnsi="宋体" w:eastAsia="宋体" w:cs="宋体"/>
                <w:i w:val="0"/>
                <w:color w:val="000000"/>
                <w:kern w:val="0"/>
                <w:sz w:val="22"/>
                <w:szCs w:val="22"/>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249,875,000.00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5.55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keepNext w:val="0"/>
              <w:keepLines w:val="0"/>
              <w:widowControl/>
              <w:suppressLineNumbers w:val="0"/>
              <w:jc w:val="left"/>
              <w:textAlignment w:val="top"/>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19佳源04</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188,632,000.00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keepNext w:val="0"/>
              <w:keepLines w:val="0"/>
              <w:widowControl/>
              <w:suppressLineNumbers w:val="0"/>
              <w:jc w:val="left"/>
              <w:textAlignment w:val="top"/>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20黔西南</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184,611,500.00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20筑工01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157,312,000.00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3.49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19贵合投资债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127,475,000.00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000028</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120,800,000.00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20凯文01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120,466,000.00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19贵电01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112,955,200.00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20黔交旅投债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110,604,000.00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19贵阳经开债01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110,473,000.00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1,483,203,700.00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32.95</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mcdYS+fHyptk6ZEEt2I2RboScYw=" w:salt="Os+/e8WPQ9r+sFVdXIZBU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4A17047"/>
    <w:rsid w:val="14E74041"/>
    <w:rsid w:val="14ED34E4"/>
    <w:rsid w:val="153D2966"/>
    <w:rsid w:val="188B46A5"/>
    <w:rsid w:val="1EE55F41"/>
    <w:rsid w:val="2AA204DB"/>
    <w:rsid w:val="394F4B22"/>
    <w:rsid w:val="3F524561"/>
    <w:rsid w:val="46776F3C"/>
    <w:rsid w:val="4D1108E2"/>
    <w:rsid w:val="4EE378EB"/>
    <w:rsid w:val="50AD73F2"/>
    <w:rsid w:val="57FE5038"/>
    <w:rsid w:val="58DF7C14"/>
    <w:rsid w:val="5D3D5D01"/>
    <w:rsid w:val="5E660FCE"/>
    <w:rsid w:val="64F431AF"/>
    <w:rsid w:val="66727FD7"/>
    <w:rsid w:val="673B4350"/>
    <w:rsid w:val="67855A67"/>
    <w:rsid w:val="67DF73FA"/>
    <w:rsid w:val="69103CA9"/>
    <w:rsid w:val="705B15C4"/>
    <w:rsid w:val="7A370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2022-01-26T00:54:43Z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